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BE" w:rsidRDefault="001F1005" w:rsidP="001F1005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 w:rsidRPr="001F1005">
        <w:rPr>
          <w:rFonts w:ascii="Georgia" w:hAnsi="Georgia"/>
          <w:b/>
          <w:sz w:val="24"/>
          <w:szCs w:val="24"/>
        </w:rPr>
        <w:t xml:space="preserve">A </w:t>
      </w:r>
      <w:proofErr w:type="spellStart"/>
      <w:r w:rsidRPr="001F1005">
        <w:rPr>
          <w:rFonts w:ascii="Georgia" w:hAnsi="Georgia"/>
          <w:b/>
          <w:sz w:val="24"/>
          <w:szCs w:val="24"/>
        </w:rPr>
        <w:t>biopolítica</w:t>
      </w:r>
      <w:proofErr w:type="spellEnd"/>
      <w:r w:rsidRPr="001F1005">
        <w:rPr>
          <w:rFonts w:ascii="Georgia" w:hAnsi="Georgia"/>
          <w:b/>
          <w:sz w:val="24"/>
          <w:szCs w:val="24"/>
        </w:rPr>
        <w:t xml:space="preserve"> e as novas segregações</w:t>
      </w:r>
    </w:p>
    <w:p w:rsidR="00FD7433" w:rsidRPr="00EC6F71" w:rsidRDefault="00FD7433" w:rsidP="00FD7433">
      <w:pPr>
        <w:spacing w:line="360" w:lineRule="auto"/>
        <w:rPr>
          <w:rFonts w:ascii="Georgia" w:hAnsi="Georgia"/>
          <w:sz w:val="24"/>
          <w:szCs w:val="24"/>
        </w:rPr>
      </w:pPr>
      <w:r w:rsidRPr="00EC6F71">
        <w:rPr>
          <w:rFonts w:ascii="Georgia" w:hAnsi="Georgia"/>
          <w:sz w:val="24"/>
          <w:szCs w:val="24"/>
        </w:rPr>
        <w:t>Relatora:</w:t>
      </w:r>
      <w:r w:rsidR="00761131" w:rsidRPr="00EC6F71">
        <w:rPr>
          <w:rFonts w:ascii="Georgia" w:hAnsi="Georgia"/>
          <w:sz w:val="24"/>
          <w:szCs w:val="24"/>
        </w:rPr>
        <w:t xml:space="preserve"> Lucíola Freitas de Macêdo</w:t>
      </w:r>
    </w:p>
    <w:p w:rsidR="00FD7433" w:rsidRPr="00EC6F71" w:rsidRDefault="00FD7433" w:rsidP="00FD7433">
      <w:pPr>
        <w:spacing w:line="360" w:lineRule="auto"/>
        <w:rPr>
          <w:rFonts w:ascii="Georgia" w:hAnsi="Georgia"/>
          <w:sz w:val="24"/>
          <w:szCs w:val="24"/>
        </w:rPr>
      </w:pPr>
      <w:r w:rsidRPr="00EC6F71">
        <w:rPr>
          <w:rFonts w:ascii="Georgia" w:hAnsi="Georgia"/>
          <w:sz w:val="24"/>
          <w:szCs w:val="24"/>
        </w:rPr>
        <w:t>Grupo de trabalho:</w:t>
      </w:r>
      <w:r w:rsidR="00A10F4F">
        <w:rPr>
          <w:rFonts w:ascii="Georgia" w:hAnsi="Georgia"/>
          <w:sz w:val="24"/>
          <w:szCs w:val="24"/>
        </w:rPr>
        <w:t xml:space="preserve"> </w:t>
      </w:r>
      <w:proofErr w:type="spellStart"/>
      <w:r w:rsidR="00A10F4F">
        <w:rPr>
          <w:rFonts w:ascii="Georgia" w:hAnsi="Georgia"/>
          <w:sz w:val="24"/>
          <w:szCs w:val="24"/>
        </w:rPr>
        <w:t>Mari</w:t>
      </w:r>
      <w:r w:rsidR="00046CD0" w:rsidRPr="00EC6F71">
        <w:rPr>
          <w:rFonts w:ascii="Georgia" w:hAnsi="Georgia"/>
          <w:sz w:val="24"/>
          <w:szCs w:val="24"/>
        </w:rPr>
        <w:t>cia</w:t>
      </w:r>
      <w:proofErr w:type="spellEnd"/>
      <w:r w:rsidR="00046CD0" w:rsidRPr="00EC6F71">
        <w:rPr>
          <w:rFonts w:ascii="Georgia" w:hAnsi="Georgia"/>
          <w:sz w:val="24"/>
          <w:szCs w:val="24"/>
        </w:rPr>
        <w:t xml:space="preserve"> </w:t>
      </w:r>
      <w:proofErr w:type="spellStart"/>
      <w:r w:rsidR="00046CD0" w:rsidRPr="00EC6F71">
        <w:rPr>
          <w:rFonts w:ascii="Georgia" w:hAnsi="Georgia"/>
          <w:sz w:val="24"/>
          <w:szCs w:val="24"/>
        </w:rPr>
        <w:t>Cis</w:t>
      </w:r>
      <w:r w:rsidR="00EC6F71">
        <w:rPr>
          <w:rFonts w:ascii="Georgia" w:hAnsi="Georgia"/>
          <w:sz w:val="24"/>
          <w:szCs w:val="24"/>
        </w:rPr>
        <w:t>cato</w:t>
      </w:r>
      <w:proofErr w:type="spellEnd"/>
      <w:r w:rsidR="00EC6F71">
        <w:rPr>
          <w:rFonts w:ascii="Georgia" w:hAnsi="Georgia"/>
          <w:sz w:val="24"/>
          <w:szCs w:val="24"/>
        </w:rPr>
        <w:t xml:space="preserve">, Paula </w:t>
      </w:r>
      <w:proofErr w:type="spellStart"/>
      <w:r w:rsidR="00EC6F71">
        <w:rPr>
          <w:rFonts w:ascii="Georgia" w:hAnsi="Georgia"/>
          <w:sz w:val="24"/>
          <w:szCs w:val="24"/>
        </w:rPr>
        <w:t>Legey</w:t>
      </w:r>
      <w:proofErr w:type="spellEnd"/>
      <w:r w:rsidR="00EC6F71">
        <w:rPr>
          <w:rFonts w:ascii="Georgia" w:hAnsi="Georgia"/>
          <w:sz w:val="24"/>
          <w:szCs w:val="24"/>
        </w:rPr>
        <w:t xml:space="preserve">, Lourenço </w:t>
      </w:r>
      <w:proofErr w:type="spellStart"/>
      <w:r w:rsidR="00EC6F71">
        <w:rPr>
          <w:rFonts w:ascii="Georgia" w:hAnsi="Georgia"/>
          <w:sz w:val="24"/>
          <w:szCs w:val="24"/>
        </w:rPr>
        <w:t>Astú</w:t>
      </w:r>
      <w:r w:rsidR="00046CD0" w:rsidRPr="00EC6F71">
        <w:rPr>
          <w:rFonts w:ascii="Georgia" w:hAnsi="Georgia"/>
          <w:sz w:val="24"/>
          <w:szCs w:val="24"/>
        </w:rPr>
        <w:t>a</w:t>
      </w:r>
      <w:proofErr w:type="spellEnd"/>
      <w:r w:rsidR="00814098">
        <w:rPr>
          <w:rFonts w:ascii="Georgia" w:hAnsi="Georgia"/>
          <w:sz w:val="24"/>
          <w:szCs w:val="24"/>
        </w:rPr>
        <w:t xml:space="preserve"> de Morae</w:t>
      </w:r>
      <w:r w:rsidR="00046CD0" w:rsidRPr="00EC6F71">
        <w:rPr>
          <w:rFonts w:ascii="Georgia" w:hAnsi="Georgia"/>
          <w:sz w:val="24"/>
          <w:szCs w:val="24"/>
        </w:rPr>
        <w:t>s, Isabel do Rêg</w:t>
      </w:r>
      <w:r w:rsidR="00A10F4F">
        <w:rPr>
          <w:rFonts w:ascii="Georgia" w:hAnsi="Georgia"/>
          <w:sz w:val="24"/>
          <w:szCs w:val="24"/>
        </w:rPr>
        <w:t>o Barros Duarte, Franciele Almeida</w:t>
      </w:r>
      <w:r w:rsidR="00046CD0" w:rsidRPr="00EC6F71">
        <w:rPr>
          <w:rFonts w:ascii="Georgia" w:hAnsi="Georgia"/>
          <w:sz w:val="24"/>
          <w:szCs w:val="24"/>
        </w:rPr>
        <w:t xml:space="preserve">, Jorge Pimenta, Marco Aurélio Máximo Prado, Andréa Guerra, Márcia Rosa Vieira </w:t>
      </w:r>
      <w:proofErr w:type="spellStart"/>
      <w:r w:rsidR="00EC6F71">
        <w:rPr>
          <w:rFonts w:ascii="Georgia" w:hAnsi="Georgia"/>
          <w:sz w:val="24"/>
          <w:szCs w:val="24"/>
        </w:rPr>
        <w:t>Luchina</w:t>
      </w:r>
      <w:proofErr w:type="spellEnd"/>
      <w:r w:rsidR="00EC6F71">
        <w:rPr>
          <w:rFonts w:ascii="Georgia" w:hAnsi="Georgia"/>
          <w:sz w:val="24"/>
          <w:szCs w:val="24"/>
        </w:rPr>
        <w:t xml:space="preserve">, Carlos </w:t>
      </w:r>
      <w:proofErr w:type="spellStart"/>
      <w:r w:rsidR="00EC6F71">
        <w:rPr>
          <w:rFonts w:ascii="Georgia" w:hAnsi="Georgia"/>
          <w:sz w:val="24"/>
          <w:szCs w:val="24"/>
        </w:rPr>
        <w:t>Luchina</w:t>
      </w:r>
      <w:proofErr w:type="spellEnd"/>
    </w:p>
    <w:p w:rsidR="001F1005" w:rsidRPr="001F1005" w:rsidRDefault="001F1005" w:rsidP="001F1005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1F1005">
        <w:rPr>
          <w:rFonts w:ascii="Georgia" w:hAnsi="Georgia"/>
          <w:b/>
          <w:sz w:val="24"/>
          <w:szCs w:val="24"/>
        </w:rPr>
        <w:t>Argumento</w:t>
      </w:r>
    </w:p>
    <w:p w:rsidR="007C4F1B" w:rsidRDefault="00D94657" w:rsidP="001F1005">
      <w:p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primeira questão</w:t>
      </w:r>
      <w:r w:rsidR="000859C6">
        <w:rPr>
          <w:rFonts w:ascii="Georgia" w:hAnsi="Georgia"/>
          <w:sz w:val="24"/>
          <w:szCs w:val="24"/>
        </w:rPr>
        <w:t xml:space="preserve"> </w:t>
      </w:r>
      <w:r w:rsidR="001F1005">
        <w:rPr>
          <w:rFonts w:ascii="Georgia" w:hAnsi="Georgia"/>
          <w:sz w:val="24"/>
          <w:szCs w:val="24"/>
        </w:rPr>
        <w:t>que surgiu e</w:t>
      </w:r>
      <w:r w:rsidR="007D716D">
        <w:rPr>
          <w:rFonts w:ascii="Georgia" w:hAnsi="Georgia"/>
          <w:sz w:val="24"/>
          <w:szCs w:val="24"/>
        </w:rPr>
        <w:t>m nosso grupo de tr</w:t>
      </w:r>
      <w:r w:rsidR="003057A5">
        <w:rPr>
          <w:rFonts w:ascii="Georgia" w:hAnsi="Georgia"/>
          <w:sz w:val="24"/>
          <w:szCs w:val="24"/>
        </w:rPr>
        <w:t>abalho</w:t>
      </w:r>
      <w:r w:rsidR="007C4F1B">
        <w:rPr>
          <w:rFonts w:ascii="Georgia" w:hAnsi="Georgia"/>
          <w:sz w:val="24"/>
          <w:szCs w:val="24"/>
        </w:rPr>
        <w:t xml:space="preserve">, se fazendo </w:t>
      </w:r>
      <w:r w:rsidR="0086524B">
        <w:rPr>
          <w:rFonts w:ascii="Georgia" w:hAnsi="Georgia"/>
          <w:sz w:val="24"/>
          <w:szCs w:val="24"/>
        </w:rPr>
        <w:t>presente nas reuniões subsequentes e continua</w:t>
      </w:r>
      <w:r w:rsidR="007C4F1B">
        <w:rPr>
          <w:rFonts w:ascii="Georgia" w:hAnsi="Georgia"/>
          <w:sz w:val="24"/>
          <w:szCs w:val="24"/>
        </w:rPr>
        <w:t>ndo</w:t>
      </w:r>
      <w:r w:rsidR="003057A5">
        <w:rPr>
          <w:rFonts w:ascii="Georgia" w:hAnsi="Georgia"/>
          <w:sz w:val="24"/>
          <w:szCs w:val="24"/>
        </w:rPr>
        <w:t xml:space="preserve"> a nos interrogar</w:t>
      </w:r>
      <w:r>
        <w:rPr>
          <w:rFonts w:ascii="Georgia" w:hAnsi="Georgia"/>
          <w:sz w:val="24"/>
          <w:szCs w:val="24"/>
        </w:rPr>
        <w:t xml:space="preserve">, </w:t>
      </w:r>
      <w:r w:rsidR="007D716D">
        <w:rPr>
          <w:rFonts w:ascii="Georgia" w:hAnsi="Georgia"/>
          <w:sz w:val="24"/>
          <w:szCs w:val="24"/>
        </w:rPr>
        <w:t xml:space="preserve">coloca em evidência </w:t>
      </w:r>
      <w:r w:rsidR="001F1005">
        <w:rPr>
          <w:rFonts w:ascii="Georgia" w:hAnsi="Georgia"/>
          <w:sz w:val="24"/>
          <w:szCs w:val="24"/>
        </w:rPr>
        <w:t>um dos significan</w:t>
      </w:r>
      <w:r w:rsidR="007D716D">
        <w:rPr>
          <w:rFonts w:ascii="Georgia" w:hAnsi="Georgia"/>
          <w:sz w:val="24"/>
          <w:szCs w:val="24"/>
        </w:rPr>
        <w:t>tes que compõem o título do GT</w:t>
      </w:r>
      <w:r>
        <w:rPr>
          <w:rFonts w:ascii="Georgia" w:hAnsi="Georgia"/>
          <w:sz w:val="24"/>
          <w:szCs w:val="24"/>
        </w:rPr>
        <w:t xml:space="preserve">, mas ao invés de </w:t>
      </w:r>
      <w:r w:rsidR="003057A5">
        <w:rPr>
          <w:rFonts w:ascii="Georgia" w:hAnsi="Georgia"/>
          <w:sz w:val="24"/>
          <w:szCs w:val="24"/>
        </w:rPr>
        <w:t>adjetivo, t</w:t>
      </w:r>
      <w:r w:rsidR="004463A3">
        <w:rPr>
          <w:rFonts w:ascii="Georgia" w:hAnsi="Georgia"/>
          <w:sz w:val="24"/>
          <w:szCs w:val="24"/>
        </w:rPr>
        <w:t>omado em sua vertente assertiva</w:t>
      </w:r>
      <w:r w:rsidR="003057A5">
        <w:rPr>
          <w:rFonts w:ascii="Georgia" w:hAnsi="Georgia"/>
          <w:sz w:val="24"/>
          <w:szCs w:val="24"/>
        </w:rPr>
        <w:t>,</w:t>
      </w:r>
      <w:r w:rsidR="007C4F1B">
        <w:rPr>
          <w:rFonts w:ascii="Georgia" w:hAnsi="Georgia"/>
          <w:sz w:val="24"/>
          <w:szCs w:val="24"/>
        </w:rPr>
        <w:t xml:space="preserve"> lançamos a ele u</w:t>
      </w:r>
      <w:r>
        <w:rPr>
          <w:rFonts w:ascii="Georgia" w:hAnsi="Georgia"/>
          <w:sz w:val="24"/>
          <w:szCs w:val="24"/>
        </w:rPr>
        <w:t>ma pergunta</w:t>
      </w:r>
      <w:r w:rsidR="00B055EA">
        <w:rPr>
          <w:rFonts w:ascii="Georgia" w:hAnsi="Georgia"/>
          <w:sz w:val="24"/>
          <w:szCs w:val="24"/>
        </w:rPr>
        <w:t>: p</w:t>
      </w:r>
      <w:r w:rsidR="001F1005">
        <w:rPr>
          <w:rFonts w:ascii="Georgia" w:hAnsi="Georgia"/>
          <w:sz w:val="24"/>
          <w:szCs w:val="24"/>
        </w:rPr>
        <w:t xml:space="preserve">or que </w:t>
      </w:r>
      <w:r w:rsidR="001F1005" w:rsidRPr="007C4F1B">
        <w:rPr>
          <w:rFonts w:ascii="Georgia" w:hAnsi="Georgia"/>
          <w:sz w:val="24"/>
          <w:szCs w:val="24"/>
        </w:rPr>
        <w:t>“novas”</w:t>
      </w:r>
      <w:r w:rsidR="007D716D">
        <w:rPr>
          <w:rFonts w:ascii="Georgia" w:hAnsi="Georgia"/>
          <w:sz w:val="24"/>
          <w:szCs w:val="24"/>
        </w:rPr>
        <w:t xml:space="preserve"> segregações</w:t>
      </w:r>
      <w:r w:rsidR="001F1005">
        <w:rPr>
          <w:rFonts w:ascii="Georgia" w:hAnsi="Georgia"/>
          <w:sz w:val="24"/>
          <w:szCs w:val="24"/>
        </w:rPr>
        <w:t>? O que traria esse aspecto de novidade</w:t>
      </w:r>
      <w:r w:rsidR="007C4F1B">
        <w:rPr>
          <w:rFonts w:ascii="Georgia" w:hAnsi="Georgia"/>
          <w:sz w:val="24"/>
          <w:szCs w:val="24"/>
        </w:rPr>
        <w:t>,</w:t>
      </w:r>
      <w:r w:rsidR="001F1005">
        <w:rPr>
          <w:rFonts w:ascii="Georgia" w:hAnsi="Georgia"/>
          <w:sz w:val="24"/>
          <w:szCs w:val="24"/>
        </w:rPr>
        <w:t xml:space="preserve"> às segregações cujas raí</w:t>
      </w:r>
      <w:r w:rsidR="000859C6">
        <w:rPr>
          <w:rFonts w:ascii="Georgia" w:hAnsi="Georgia"/>
          <w:sz w:val="24"/>
          <w:szCs w:val="24"/>
        </w:rPr>
        <w:t>zes se encontram no terreno</w:t>
      </w:r>
      <w:r w:rsidR="001F1005">
        <w:rPr>
          <w:rFonts w:ascii="Georgia" w:hAnsi="Georgia"/>
          <w:sz w:val="24"/>
          <w:szCs w:val="24"/>
        </w:rPr>
        <w:t xml:space="preserve"> da </w:t>
      </w:r>
      <w:proofErr w:type="spellStart"/>
      <w:r w:rsidR="001F1005">
        <w:rPr>
          <w:rFonts w:ascii="Georgia" w:hAnsi="Georgia"/>
          <w:sz w:val="24"/>
          <w:szCs w:val="24"/>
        </w:rPr>
        <w:t>biop</w:t>
      </w:r>
      <w:r w:rsidR="00097C6D">
        <w:rPr>
          <w:rFonts w:ascii="Georgia" w:hAnsi="Georgia"/>
          <w:sz w:val="24"/>
          <w:szCs w:val="24"/>
        </w:rPr>
        <w:t>olítica</w:t>
      </w:r>
      <w:proofErr w:type="spellEnd"/>
      <w:r w:rsidR="00097C6D">
        <w:rPr>
          <w:rFonts w:ascii="Georgia" w:hAnsi="Georgia"/>
          <w:sz w:val="24"/>
          <w:szCs w:val="24"/>
        </w:rPr>
        <w:t>?</w:t>
      </w:r>
      <w:r w:rsidR="007C4F1B">
        <w:rPr>
          <w:rFonts w:ascii="Georgia" w:hAnsi="Georgia"/>
          <w:sz w:val="24"/>
          <w:szCs w:val="24"/>
        </w:rPr>
        <w:t xml:space="preserve"> Haveria também uma “nova” </w:t>
      </w:r>
      <w:proofErr w:type="spellStart"/>
      <w:r w:rsidR="007C4F1B">
        <w:rPr>
          <w:rFonts w:ascii="Georgia" w:hAnsi="Georgia"/>
          <w:sz w:val="24"/>
          <w:szCs w:val="24"/>
        </w:rPr>
        <w:t>biopolítica</w:t>
      </w:r>
      <w:proofErr w:type="spellEnd"/>
      <w:r w:rsidR="007C4F1B">
        <w:rPr>
          <w:rFonts w:ascii="Georgia" w:hAnsi="Georgia"/>
          <w:sz w:val="24"/>
          <w:szCs w:val="24"/>
        </w:rPr>
        <w:t>?</w:t>
      </w:r>
      <w:r w:rsidR="00097C6D">
        <w:rPr>
          <w:rFonts w:ascii="Georgia" w:hAnsi="Georgia"/>
          <w:sz w:val="24"/>
          <w:szCs w:val="24"/>
        </w:rPr>
        <w:t xml:space="preserve"> </w:t>
      </w:r>
    </w:p>
    <w:p w:rsidR="001F1005" w:rsidRDefault="001F1005" w:rsidP="001F1005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1F1005">
        <w:rPr>
          <w:rFonts w:ascii="Georgia" w:hAnsi="Georgia"/>
          <w:b/>
          <w:sz w:val="24"/>
          <w:szCs w:val="24"/>
        </w:rPr>
        <w:t>Hipótese</w:t>
      </w:r>
    </w:p>
    <w:p w:rsidR="00451DCE" w:rsidRDefault="007C768A" w:rsidP="00D94074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 hipótese que </w:t>
      </w:r>
      <w:r w:rsidR="00C9290E">
        <w:rPr>
          <w:rFonts w:ascii="Georgia" w:hAnsi="Georgia"/>
          <w:sz w:val="24"/>
          <w:szCs w:val="24"/>
        </w:rPr>
        <w:t>orientou</w:t>
      </w:r>
      <w:r w:rsidR="008B4D0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 investiga</w:t>
      </w:r>
      <w:r w:rsidR="00097C6D">
        <w:rPr>
          <w:rFonts w:ascii="Georgia" w:hAnsi="Georgia"/>
          <w:sz w:val="24"/>
          <w:szCs w:val="24"/>
        </w:rPr>
        <w:t>ção em torno d</w:t>
      </w:r>
      <w:r w:rsidR="00B65F40">
        <w:rPr>
          <w:rFonts w:ascii="Georgia" w:hAnsi="Georgia"/>
          <w:sz w:val="24"/>
          <w:szCs w:val="24"/>
        </w:rPr>
        <w:t>esta</w:t>
      </w:r>
      <w:r>
        <w:rPr>
          <w:rFonts w:ascii="Georgia" w:hAnsi="Georgia"/>
          <w:sz w:val="24"/>
          <w:szCs w:val="24"/>
        </w:rPr>
        <w:t xml:space="preserve"> questão </w:t>
      </w:r>
      <w:r w:rsidR="00097C6D">
        <w:rPr>
          <w:rFonts w:ascii="Georgia" w:hAnsi="Georgia"/>
          <w:sz w:val="24"/>
          <w:szCs w:val="24"/>
        </w:rPr>
        <w:t>é de que</w:t>
      </w:r>
      <w:r w:rsidR="00AF6091">
        <w:rPr>
          <w:rFonts w:ascii="Georgia" w:hAnsi="Georgia"/>
          <w:sz w:val="24"/>
          <w:szCs w:val="24"/>
        </w:rPr>
        <w:t xml:space="preserve"> </w:t>
      </w:r>
      <w:r w:rsidR="00097C6D">
        <w:rPr>
          <w:rFonts w:ascii="Georgia" w:hAnsi="Georgia"/>
          <w:sz w:val="24"/>
          <w:szCs w:val="24"/>
        </w:rPr>
        <w:t>a novidade da segregação</w:t>
      </w:r>
      <w:r w:rsidR="00674395">
        <w:rPr>
          <w:rFonts w:ascii="Georgia" w:hAnsi="Georgia"/>
          <w:sz w:val="24"/>
          <w:szCs w:val="24"/>
        </w:rPr>
        <w:t xml:space="preserve"> perpetrada sob a égide d</w:t>
      </w:r>
      <w:r w:rsidR="00C9290E">
        <w:rPr>
          <w:rFonts w:ascii="Georgia" w:hAnsi="Georgia"/>
          <w:sz w:val="24"/>
          <w:szCs w:val="24"/>
        </w:rPr>
        <w:t>a</w:t>
      </w:r>
      <w:r w:rsidR="00AF6091">
        <w:rPr>
          <w:rFonts w:ascii="Georgia" w:hAnsi="Georgia"/>
          <w:sz w:val="24"/>
          <w:szCs w:val="24"/>
        </w:rPr>
        <w:t xml:space="preserve"> </w:t>
      </w:r>
      <w:proofErr w:type="spellStart"/>
      <w:r w:rsidR="00AF6091">
        <w:rPr>
          <w:rFonts w:ascii="Georgia" w:hAnsi="Georgia"/>
          <w:sz w:val="24"/>
          <w:szCs w:val="24"/>
        </w:rPr>
        <w:t>biopolítica</w:t>
      </w:r>
      <w:proofErr w:type="spellEnd"/>
      <w:r w:rsidR="004B7C94">
        <w:rPr>
          <w:rFonts w:ascii="Georgia" w:hAnsi="Georgia"/>
          <w:sz w:val="24"/>
          <w:szCs w:val="24"/>
        </w:rPr>
        <w:t xml:space="preserve"> </w:t>
      </w:r>
      <w:r w:rsidR="00631F38">
        <w:rPr>
          <w:rFonts w:ascii="Georgia" w:hAnsi="Georgia"/>
          <w:sz w:val="24"/>
          <w:szCs w:val="24"/>
        </w:rPr>
        <w:t xml:space="preserve">contemporânea, </w:t>
      </w:r>
      <w:r w:rsidR="00C96F1E">
        <w:rPr>
          <w:rFonts w:ascii="Georgia" w:hAnsi="Georgia"/>
          <w:sz w:val="24"/>
          <w:szCs w:val="24"/>
        </w:rPr>
        <w:t xml:space="preserve"> - </w:t>
      </w:r>
      <w:r w:rsidR="00631F38">
        <w:rPr>
          <w:rFonts w:ascii="Georgia" w:hAnsi="Georgia"/>
          <w:sz w:val="24"/>
          <w:szCs w:val="24"/>
        </w:rPr>
        <w:t xml:space="preserve">que já não </w:t>
      </w:r>
      <w:r w:rsidR="00C96F1E">
        <w:rPr>
          <w:rFonts w:ascii="Georgia" w:hAnsi="Georgia"/>
          <w:sz w:val="24"/>
          <w:szCs w:val="24"/>
        </w:rPr>
        <w:t>parece ter o mesmo estatuto da</w:t>
      </w:r>
      <w:r w:rsidR="00AB1170">
        <w:rPr>
          <w:rFonts w:ascii="Georgia" w:hAnsi="Georgia"/>
          <w:sz w:val="24"/>
          <w:szCs w:val="24"/>
        </w:rPr>
        <w:t xml:space="preserve"> </w:t>
      </w:r>
      <w:proofErr w:type="spellStart"/>
      <w:r w:rsidR="00AB1170">
        <w:rPr>
          <w:rFonts w:ascii="Georgia" w:hAnsi="Georgia"/>
          <w:sz w:val="24"/>
          <w:szCs w:val="24"/>
        </w:rPr>
        <w:t>biopolítica</w:t>
      </w:r>
      <w:proofErr w:type="spellEnd"/>
      <w:r w:rsidR="00AB1170">
        <w:rPr>
          <w:rFonts w:ascii="Georgia" w:hAnsi="Georgia"/>
          <w:sz w:val="24"/>
          <w:szCs w:val="24"/>
        </w:rPr>
        <w:t xml:space="preserve"> tal como</w:t>
      </w:r>
      <w:r w:rsidR="00C96F1E">
        <w:rPr>
          <w:rFonts w:ascii="Georgia" w:hAnsi="Georgia"/>
          <w:sz w:val="24"/>
          <w:szCs w:val="24"/>
        </w:rPr>
        <w:t xml:space="preserve"> problematizada por Foucault nos anos setenta do século passado - </w:t>
      </w:r>
      <w:r w:rsidR="00AB1170">
        <w:rPr>
          <w:rFonts w:ascii="Georgia" w:hAnsi="Georgia"/>
          <w:sz w:val="24"/>
          <w:szCs w:val="24"/>
        </w:rPr>
        <w:t xml:space="preserve"> </w:t>
      </w:r>
      <w:r w:rsidR="00AF6091">
        <w:rPr>
          <w:rFonts w:ascii="Georgia" w:hAnsi="Georgia"/>
          <w:sz w:val="24"/>
          <w:szCs w:val="24"/>
        </w:rPr>
        <w:t xml:space="preserve"> poderia ser pensada no horizo</w:t>
      </w:r>
      <w:r w:rsidR="00E318BE">
        <w:rPr>
          <w:rFonts w:ascii="Georgia" w:hAnsi="Georgia"/>
          <w:sz w:val="24"/>
          <w:szCs w:val="24"/>
        </w:rPr>
        <w:t>nte das mutações dos discursos</w:t>
      </w:r>
      <w:r w:rsidR="00B65F40">
        <w:rPr>
          <w:rFonts w:ascii="Georgia" w:hAnsi="Georgia"/>
          <w:sz w:val="24"/>
          <w:szCs w:val="24"/>
        </w:rPr>
        <w:t>,</w:t>
      </w:r>
      <w:r w:rsidR="00E318BE">
        <w:rPr>
          <w:rFonts w:ascii="Georgia" w:hAnsi="Georgia"/>
          <w:sz w:val="24"/>
          <w:szCs w:val="24"/>
        </w:rPr>
        <w:t xml:space="preserve"> e mais especificamente, na derrocada dos universalismos engendrados p</w:t>
      </w:r>
      <w:r w:rsidR="00C96F1E">
        <w:rPr>
          <w:rFonts w:ascii="Georgia" w:hAnsi="Georgia"/>
          <w:sz w:val="24"/>
          <w:szCs w:val="24"/>
        </w:rPr>
        <w:t xml:space="preserve">elo Discurso do Mestre, </w:t>
      </w:r>
      <w:r w:rsidR="00E318BE">
        <w:rPr>
          <w:rFonts w:ascii="Georgia" w:hAnsi="Georgia"/>
          <w:sz w:val="24"/>
          <w:szCs w:val="24"/>
        </w:rPr>
        <w:t>com a ascensão hegemônica do Discurso do Capitalismo</w:t>
      </w:r>
      <w:r w:rsidR="00B65F40">
        <w:rPr>
          <w:rFonts w:ascii="Georgia" w:hAnsi="Georgia"/>
          <w:sz w:val="24"/>
          <w:szCs w:val="24"/>
        </w:rPr>
        <w:t xml:space="preserve">. </w:t>
      </w:r>
    </w:p>
    <w:p w:rsidR="00457397" w:rsidRDefault="00451DCE" w:rsidP="00D94074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Haveria um tipo de segregação que</w:t>
      </w:r>
      <w:r w:rsidR="007964CB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engendrada pelo Discurso do Mestre, encontraria</w:t>
      </w:r>
      <w:r w:rsidR="00D90817">
        <w:rPr>
          <w:rFonts w:ascii="Georgia" w:hAnsi="Georgia"/>
          <w:sz w:val="24"/>
          <w:szCs w:val="24"/>
        </w:rPr>
        <w:t xml:space="preserve"> suas raízes no</w:t>
      </w:r>
      <w:r>
        <w:rPr>
          <w:rFonts w:ascii="Georgia" w:hAnsi="Georgia"/>
          <w:sz w:val="24"/>
          <w:szCs w:val="24"/>
        </w:rPr>
        <w:t xml:space="preserve"> “choque de civilizações”</w:t>
      </w:r>
      <w:r w:rsidR="00F94A33">
        <w:rPr>
          <w:rFonts w:ascii="Georgia" w:hAnsi="Georgia"/>
          <w:sz w:val="24"/>
          <w:szCs w:val="24"/>
        </w:rPr>
        <w:t>: a raça, o sexo</w:t>
      </w:r>
      <w:r w:rsidR="007964CB">
        <w:rPr>
          <w:rFonts w:ascii="Georgia" w:hAnsi="Georgia"/>
          <w:sz w:val="24"/>
          <w:szCs w:val="24"/>
        </w:rPr>
        <w:t xml:space="preserve"> e a religião, </w:t>
      </w:r>
      <w:r w:rsidR="00F94A33">
        <w:rPr>
          <w:rFonts w:ascii="Georgia" w:hAnsi="Georgia"/>
          <w:sz w:val="24"/>
          <w:szCs w:val="24"/>
        </w:rPr>
        <w:t xml:space="preserve">só para citar seus principais alvos, </w:t>
      </w:r>
      <w:r w:rsidR="00457397">
        <w:rPr>
          <w:rFonts w:ascii="Georgia" w:hAnsi="Georgia"/>
          <w:sz w:val="24"/>
          <w:szCs w:val="24"/>
        </w:rPr>
        <w:t>no contexto do Discurso do Mestre</w:t>
      </w:r>
      <w:r w:rsidR="007964CB">
        <w:rPr>
          <w:rFonts w:ascii="Georgia" w:hAnsi="Georgia"/>
          <w:sz w:val="24"/>
          <w:szCs w:val="24"/>
        </w:rPr>
        <w:t xml:space="preserve">, </w:t>
      </w:r>
      <w:r w:rsidR="00457397">
        <w:rPr>
          <w:rFonts w:ascii="Georgia" w:hAnsi="Georgia"/>
          <w:sz w:val="24"/>
          <w:szCs w:val="24"/>
        </w:rPr>
        <w:t xml:space="preserve">ganham uma </w:t>
      </w:r>
      <w:r w:rsidR="007964CB">
        <w:rPr>
          <w:rFonts w:ascii="Georgia" w:hAnsi="Georgia"/>
          <w:sz w:val="24"/>
          <w:szCs w:val="24"/>
        </w:rPr>
        <w:t>localiza</w:t>
      </w:r>
      <w:r w:rsidR="00457397">
        <w:rPr>
          <w:rFonts w:ascii="Georgia" w:hAnsi="Georgia"/>
          <w:sz w:val="24"/>
          <w:szCs w:val="24"/>
        </w:rPr>
        <w:t>ção simbólica</w:t>
      </w:r>
      <w:r w:rsidR="007964CB">
        <w:rPr>
          <w:rFonts w:ascii="Georgia" w:hAnsi="Georgia"/>
          <w:sz w:val="24"/>
          <w:szCs w:val="24"/>
        </w:rPr>
        <w:t xml:space="preserve">. Suas </w:t>
      </w:r>
      <w:r w:rsidR="00CD6D3D">
        <w:rPr>
          <w:rFonts w:ascii="Georgia" w:hAnsi="Georgia"/>
          <w:sz w:val="24"/>
          <w:szCs w:val="24"/>
        </w:rPr>
        <w:t xml:space="preserve">coordenadas </w:t>
      </w:r>
      <w:r w:rsidR="007964CB">
        <w:rPr>
          <w:rFonts w:ascii="Georgia" w:hAnsi="Georgia"/>
          <w:sz w:val="24"/>
          <w:szCs w:val="24"/>
        </w:rPr>
        <w:t>situam</w:t>
      </w:r>
      <w:r w:rsidR="00D90817">
        <w:rPr>
          <w:rFonts w:ascii="Georgia" w:hAnsi="Georgia"/>
          <w:sz w:val="24"/>
          <w:szCs w:val="24"/>
        </w:rPr>
        <w:t>-se</w:t>
      </w:r>
      <w:r w:rsidR="007964CB">
        <w:rPr>
          <w:rFonts w:ascii="Georgia" w:hAnsi="Georgia"/>
          <w:sz w:val="24"/>
          <w:szCs w:val="24"/>
        </w:rPr>
        <w:t xml:space="preserve"> </w:t>
      </w:r>
      <w:r w:rsidR="00CD6D3D">
        <w:rPr>
          <w:rFonts w:ascii="Georgia" w:hAnsi="Georgia"/>
          <w:sz w:val="24"/>
          <w:szCs w:val="24"/>
        </w:rPr>
        <w:t xml:space="preserve">nos </w:t>
      </w:r>
      <w:proofErr w:type="spellStart"/>
      <w:r w:rsidR="00CD6D3D">
        <w:rPr>
          <w:rFonts w:ascii="Georgia" w:hAnsi="Georgia"/>
          <w:sz w:val="24"/>
          <w:szCs w:val="24"/>
        </w:rPr>
        <w:t>avatares</w:t>
      </w:r>
      <w:proofErr w:type="spellEnd"/>
      <w:r w:rsidR="00CD6D3D">
        <w:rPr>
          <w:rFonts w:ascii="Georgia" w:hAnsi="Georgia"/>
          <w:sz w:val="24"/>
          <w:szCs w:val="24"/>
        </w:rPr>
        <w:t xml:space="preserve"> do tratamento do real pelo simbólico, terreno </w:t>
      </w:r>
      <w:r w:rsidR="007964CB">
        <w:rPr>
          <w:rFonts w:ascii="Georgia" w:hAnsi="Georgia"/>
          <w:sz w:val="24"/>
          <w:szCs w:val="24"/>
        </w:rPr>
        <w:t xml:space="preserve">no qual o Nome-do-Pai, </w:t>
      </w:r>
      <w:r w:rsidR="00D90817">
        <w:rPr>
          <w:rFonts w:ascii="Georgia" w:hAnsi="Georgia"/>
          <w:sz w:val="24"/>
          <w:szCs w:val="24"/>
        </w:rPr>
        <w:t>operante, poderá servir de</w:t>
      </w:r>
      <w:r w:rsidR="00CD6D3D">
        <w:rPr>
          <w:rFonts w:ascii="Georgia" w:hAnsi="Georgia"/>
          <w:sz w:val="24"/>
          <w:szCs w:val="24"/>
        </w:rPr>
        <w:t xml:space="preserve"> recurso através do qual dar </w:t>
      </w:r>
      <w:r w:rsidR="007964CB">
        <w:rPr>
          <w:rFonts w:ascii="Georgia" w:hAnsi="Georgia"/>
          <w:sz w:val="24"/>
          <w:szCs w:val="24"/>
        </w:rPr>
        <w:t>lugar, contornar, manejar, enfim, dar</w:t>
      </w:r>
      <w:r w:rsidR="00CD6D3D">
        <w:rPr>
          <w:rFonts w:ascii="Georgia" w:hAnsi="Georgia"/>
          <w:sz w:val="24"/>
          <w:szCs w:val="24"/>
        </w:rPr>
        <w:t xml:space="preserve"> um possível tratamento ao gozo rejeitado</w:t>
      </w:r>
      <w:r w:rsidR="00457397">
        <w:rPr>
          <w:rFonts w:ascii="Georgia" w:hAnsi="Georgia"/>
          <w:sz w:val="24"/>
          <w:szCs w:val="24"/>
        </w:rPr>
        <w:t xml:space="preserve"> e aos mecanismos de exclusão</w:t>
      </w:r>
      <w:r w:rsidR="00CD6D3D">
        <w:rPr>
          <w:rFonts w:ascii="Georgia" w:hAnsi="Georgia"/>
          <w:sz w:val="24"/>
          <w:szCs w:val="24"/>
        </w:rPr>
        <w:t>.</w:t>
      </w:r>
      <w:r w:rsidR="00457397">
        <w:rPr>
          <w:rFonts w:ascii="Georgia" w:hAnsi="Georgia"/>
          <w:sz w:val="24"/>
          <w:szCs w:val="24"/>
        </w:rPr>
        <w:t xml:space="preserve"> </w:t>
      </w:r>
    </w:p>
    <w:p w:rsidR="000B4287" w:rsidRDefault="00B30CEB" w:rsidP="00D94074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Mas</w:t>
      </w:r>
      <w:r w:rsidR="00FE7BC0">
        <w:rPr>
          <w:rFonts w:ascii="Georgia" w:hAnsi="Georgia"/>
          <w:sz w:val="24"/>
          <w:szCs w:val="24"/>
        </w:rPr>
        <w:t xml:space="preserve"> e</w:t>
      </w:r>
      <w:r>
        <w:rPr>
          <w:rFonts w:ascii="Georgia" w:hAnsi="Georgia"/>
          <w:sz w:val="24"/>
          <w:szCs w:val="24"/>
        </w:rPr>
        <w:t xml:space="preserve"> as novas </w:t>
      </w:r>
      <w:r w:rsidR="00457397">
        <w:rPr>
          <w:rFonts w:ascii="Georgia" w:hAnsi="Georgia"/>
          <w:sz w:val="24"/>
          <w:szCs w:val="24"/>
        </w:rPr>
        <w:t>segregações</w:t>
      </w:r>
      <w:r w:rsidR="00FE7BC0">
        <w:rPr>
          <w:rFonts w:ascii="Georgia" w:hAnsi="Georgia"/>
          <w:sz w:val="24"/>
          <w:szCs w:val="24"/>
        </w:rPr>
        <w:t>,</w:t>
      </w:r>
      <w:r w:rsidR="00457397">
        <w:rPr>
          <w:rFonts w:ascii="Georgia" w:hAnsi="Georgia"/>
          <w:sz w:val="24"/>
          <w:szCs w:val="24"/>
        </w:rPr>
        <w:t xml:space="preserve"> seriam de outra</w:t>
      </w:r>
      <w:r w:rsidR="00FE7BC0">
        <w:rPr>
          <w:rFonts w:ascii="Georgia" w:hAnsi="Georgia"/>
          <w:sz w:val="24"/>
          <w:szCs w:val="24"/>
        </w:rPr>
        <w:t xml:space="preserve"> ordem, não sendo mais</w:t>
      </w:r>
      <w:r w:rsidR="00564251">
        <w:rPr>
          <w:rFonts w:ascii="Georgia" w:hAnsi="Georgia"/>
          <w:sz w:val="24"/>
          <w:szCs w:val="24"/>
        </w:rPr>
        <w:t xml:space="preserve"> a universalização do Dis</w:t>
      </w:r>
      <w:r w:rsidR="008118B9">
        <w:rPr>
          <w:rFonts w:ascii="Georgia" w:hAnsi="Georgia"/>
          <w:sz w:val="24"/>
          <w:szCs w:val="24"/>
        </w:rPr>
        <w:t>curso do M</w:t>
      </w:r>
      <w:r w:rsidR="00564251">
        <w:rPr>
          <w:rFonts w:ascii="Georgia" w:hAnsi="Georgia"/>
          <w:sz w:val="24"/>
          <w:szCs w:val="24"/>
        </w:rPr>
        <w:t>estre quem detém as regras do jogo</w:t>
      </w:r>
      <w:r w:rsidR="00FE7BC0">
        <w:rPr>
          <w:rFonts w:ascii="Georgia" w:hAnsi="Georgia"/>
          <w:sz w:val="24"/>
          <w:szCs w:val="24"/>
        </w:rPr>
        <w:t>?</w:t>
      </w:r>
      <w:r w:rsidR="000A2B54">
        <w:rPr>
          <w:rFonts w:ascii="Georgia" w:hAnsi="Georgia"/>
          <w:sz w:val="24"/>
          <w:szCs w:val="24"/>
        </w:rPr>
        <w:t xml:space="preserve"> </w:t>
      </w:r>
      <w:r w:rsidR="008118B9">
        <w:rPr>
          <w:rFonts w:ascii="Georgia" w:hAnsi="Georgia"/>
          <w:sz w:val="24"/>
          <w:szCs w:val="24"/>
        </w:rPr>
        <w:t xml:space="preserve">O </w:t>
      </w:r>
      <w:r w:rsidR="008118B9">
        <w:rPr>
          <w:rFonts w:ascii="Georgia" w:hAnsi="Georgia"/>
          <w:sz w:val="24"/>
          <w:szCs w:val="24"/>
        </w:rPr>
        <w:lastRenderedPageBreak/>
        <w:t xml:space="preserve">discurso capitalista, que </w:t>
      </w:r>
      <w:r w:rsidR="00564251">
        <w:rPr>
          <w:rFonts w:ascii="Georgia" w:hAnsi="Georgia"/>
          <w:sz w:val="24"/>
          <w:szCs w:val="24"/>
        </w:rPr>
        <w:t>no século 21</w:t>
      </w:r>
      <w:r w:rsidR="00FE7BC0">
        <w:rPr>
          <w:rFonts w:ascii="Georgia" w:hAnsi="Georgia"/>
          <w:sz w:val="24"/>
          <w:szCs w:val="24"/>
        </w:rPr>
        <w:t>, se torna</w:t>
      </w:r>
      <w:r w:rsidR="00564251">
        <w:rPr>
          <w:rFonts w:ascii="Georgia" w:hAnsi="Georgia"/>
          <w:sz w:val="24"/>
          <w:szCs w:val="24"/>
        </w:rPr>
        <w:t xml:space="preserve"> pura engrenagem</w:t>
      </w:r>
      <w:r w:rsidR="008118B9">
        <w:rPr>
          <w:rFonts w:ascii="Georgia" w:hAnsi="Georgia"/>
          <w:sz w:val="24"/>
          <w:szCs w:val="24"/>
        </w:rPr>
        <w:t xml:space="preserve"> do chamado “novo capitalismo”</w:t>
      </w:r>
      <w:r w:rsidR="00564251">
        <w:rPr>
          <w:rFonts w:ascii="Georgia" w:hAnsi="Georgia"/>
          <w:sz w:val="24"/>
          <w:szCs w:val="24"/>
        </w:rPr>
        <w:t>,</w:t>
      </w:r>
      <w:r w:rsidR="00FE7BC0">
        <w:rPr>
          <w:rFonts w:ascii="Georgia" w:hAnsi="Georgia"/>
          <w:sz w:val="24"/>
          <w:szCs w:val="24"/>
        </w:rPr>
        <w:t xml:space="preserve"> parece alimentar-se do rechaço a</w:t>
      </w:r>
      <w:r w:rsidR="008118B9">
        <w:rPr>
          <w:rFonts w:ascii="Georgia" w:hAnsi="Georgia"/>
          <w:sz w:val="24"/>
          <w:szCs w:val="24"/>
        </w:rPr>
        <w:t>o simbólico,</w:t>
      </w:r>
      <w:r w:rsidR="004463A3">
        <w:rPr>
          <w:rFonts w:ascii="Georgia" w:hAnsi="Georgia"/>
          <w:sz w:val="24"/>
          <w:szCs w:val="24"/>
        </w:rPr>
        <w:t xml:space="preserve"> ganhando </w:t>
      </w:r>
      <w:r w:rsidR="00C82382">
        <w:rPr>
          <w:rFonts w:ascii="Georgia" w:hAnsi="Georgia"/>
          <w:sz w:val="24"/>
          <w:szCs w:val="24"/>
        </w:rPr>
        <w:t>autonomia</w:t>
      </w:r>
      <w:r w:rsidR="004463A3">
        <w:rPr>
          <w:rFonts w:ascii="Georgia" w:hAnsi="Georgia"/>
          <w:sz w:val="24"/>
          <w:szCs w:val="24"/>
        </w:rPr>
        <w:t xml:space="preserve"> em relação às estruturas de discurso, </w:t>
      </w:r>
      <w:r w:rsidR="008118B9">
        <w:rPr>
          <w:rFonts w:ascii="Georgia" w:hAnsi="Georgia"/>
          <w:sz w:val="24"/>
          <w:szCs w:val="24"/>
        </w:rPr>
        <w:t xml:space="preserve">o que </w:t>
      </w:r>
      <w:r w:rsidR="00FE7BC0">
        <w:rPr>
          <w:rFonts w:ascii="Georgia" w:hAnsi="Georgia"/>
          <w:sz w:val="24"/>
          <w:szCs w:val="24"/>
        </w:rPr>
        <w:t>poderá</w:t>
      </w:r>
      <w:r w:rsidR="004463A3">
        <w:rPr>
          <w:rFonts w:ascii="Georgia" w:hAnsi="Georgia"/>
          <w:sz w:val="24"/>
          <w:szCs w:val="24"/>
        </w:rPr>
        <w:t xml:space="preserve"> conferir</w:t>
      </w:r>
      <w:r w:rsidR="008118B9">
        <w:rPr>
          <w:rFonts w:ascii="Georgia" w:hAnsi="Georgia"/>
          <w:sz w:val="24"/>
          <w:szCs w:val="24"/>
        </w:rPr>
        <w:t xml:space="preserve"> à </w:t>
      </w:r>
      <w:r w:rsidR="00564251">
        <w:rPr>
          <w:rFonts w:ascii="Georgia" w:hAnsi="Georgia"/>
          <w:sz w:val="24"/>
          <w:szCs w:val="24"/>
        </w:rPr>
        <w:t xml:space="preserve">segregação </w:t>
      </w:r>
      <w:r w:rsidR="008118B9">
        <w:rPr>
          <w:rFonts w:ascii="Georgia" w:hAnsi="Georgia"/>
          <w:sz w:val="24"/>
          <w:szCs w:val="24"/>
        </w:rPr>
        <w:t>um novo estatuto. Suas raízes</w:t>
      </w:r>
      <w:r w:rsidR="005E3AD6">
        <w:rPr>
          <w:rFonts w:ascii="Georgia" w:hAnsi="Georgia"/>
          <w:sz w:val="24"/>
          <w:szCs w:val="24"/>
        </w:rPr>
        <w:t xml:space="preserve"> est</w:t>
      </w:r>
      <w:r w:rsidR="00840432">
        <w:rPr>
          <w:rFonts w:ascii="Georgia" w:hAnsi="Georgia"/>
          <w:sz w:val="24"/>
          <w:szCs w:val="24"/>
        </w:rPr>
        <w:t xml:space="preserve">ariam </w:t>
      </w:r>
      <w:r w:rsidR="005E3AD6">
        <w:rPr>
          <w:rFonts w:ascii="Georgia" w:hAnsi="Georgia"/>
          <w:sz w:val="24"/>
          <w:szCs w:val="24"/>
        </w:rPr>
        <w:t>plantadas não mais no solo estável</w:t>
      </w:r>
      <w:r w:rsidR="00FE7BC0">
        <w:rPr>
          <w:rFonts w:ascii="Georgia" w:hAnsi="Georgia"/>
          <w:sz w:val="24"/>
          <w:szCs w:val="24"/>
        </w:rPr>
        <w:t xml:space="preserve"> </w:t>
      </w:r>
      <w:r w:rsidR="005E3AD6">
        <w:rPr>
          <w:rFonts w:ascii="Georgia" w:hAnsi="Georgia"/>
          <w:sz w:val="24"/>
          <w:szCs w:val="24"/>
        </w:rPr>
        <w:t>do “Choque das civilizações”, mas no pantanoso solo d</w:t>
      </w:r>
      <w:r w:rsidR="00FE7BC0">
        <w:rPr>
          <w:rFonts w:ascii="Georgia" w:hAnsi="Georgia"/>
          <w:sz w:val="24"/>
          <w:szCs w:val="24"/>
        </w:rPr>
        <w:t>o “choque</w:t>
      </w:r>
      <w:r w:rsidR="008118B9">
        <w:rPr>
          <w:rFonts w:ascii="Georgia" w:hAnsi="Georgia"/>
          <w:sz w:val="24"/>
          <w:szCs w:val="24"/>
        </w:rPr>
        <w:t xml:space="preserve"> dos gozos”</w:t>
      </w:r>
      <w:r w:rsidR="002532F1">
        <w:rPr>
          <w:rFonts w:ascii="Georgia" w:hAnsi="Georgia"/>
          <w:sz w:val="24"/>
          <w:szCs w:val="24"/>
        </w:rPr>
        <w:t>, como bem nomeou</w:t>
      </w:r>
      <w:r w:rsidR="008118B9">
        <w:rPr>
          <w:rFonts w:ascii="Georgia" w:hAnsi="Georgia"/>
          <w:sz w:val="24"/>
          <w:szCs w:val="24"/>
        </w:rPr>
        <w:t xml:space="preserve"> Eric Laurent</w:t>
      </w:r>
      <w:r w:rsidR="004463A3">
        <w:rPr>
          <w:rFonts w:ascii="Georgia" w:hAnsi="Georgia"/>
          <w:sz w:val="24"/>
          <w:szCs w:val="24"/>
        </w:rPr>
        <w:t>,</w:t>
      </w:r>
      <w:r w:rsidR="008118B9">
        <w:rPr>
          <w:rFonts w:ascii="Georgia" w:hAnsi="Georgia"/>
          <w:sz w:val="24"/>
          <w:szCs w:val="24"/>
        </w:rPr>
        <w:t xml:space="preserve"> em seu artigo “Racismo 2.0”</w:t>
      </w:r>
      <w:r w:rsidR="00FE7BC0">
        <w:rPr>
          <w:rStyle w:val="FootnoteReference"/>
          <w:rFonts w:ascii="Georgia" w:hAnsi="Georgia"/>
          <w:sz w:val="24"/>
          <w:szCs w:val="24"/>
        </w:rPr>
        <w:footnoteReference w:id="1"/>
      </w:r>
      <w:r w:rsidR="008118B9">
        <w:rPr>
          <w:rFonts w:ascii="Georgia" w:hAnsi="Georgia"/>
          <w:sz w:val="24"/>
          <w:szCs w:val="24"/>
        </w:rPr>
        <w:t xml:space="preserve">. </w:t>
      </w:r>
      <w:r w:rsidR="0087156A">
        <w:rPr>
          <w:rFonts w:ascii="Georgia" w:hAnsi="Georgia"/>
          <w:sz w:val="24"/>
          <w:szCs w:val="24"/>
        </w:rPr>
        <w:t>Suas coordenadas se situariam</w:t>
      </w:r>
      <w:r w:rsidR="002532F1">
        <w:rPr>
          <w:rFonts w:ascii="Georgia" w:hAnsi="Georgia"/>
          <w:sz w:val="24"/>
          <w:szCs w:val="24"/>
        </w:rPr>
        <w:t xml:space="preserve"> nos </w:t>
      </w:r>
      <w:proofErr w:type="spellStart"/>
      <w:r w:rsidR="002532F1">
        <w:rPr>
          <w:rFonts w:ascii="Georgia" w:hAnsi="Georgia"/>
          <w:sz w:val="24"/>
          <w:szCs w:val="24"/>
        </w:rPr>
        <w:t>avatares</w:t>
      </w:r>
      <w:proofErr w:type="spellEnd"/>
      <w:r w:rsidR="002532F1">
        <w:rPr>
          <w:rFonts w:ascii="Georgia" w:hAnsi="Georgia"/>
          <w:sz w:val="24"/>
          <w:szCs w:val="24"/>
        </w:rPr>
        <w:t xml:space="preserve"> do tratamento </w:t>
      </w:r>
      <w:r w:rsidR="00E05C68">
        <w:rPr>
          <w:rFonts w:ascii="Georgia" w:hAnsi="Georgia"/>
          <w:sz w:val="24"/>
          <w:szCs w:val="24"/>
        </w:rPr>
        <w:t>do real pelo real.</w:t>
      </w:r>
      <w:r w:rsidR="0087156A">
        <w:rPr>
          <w:rFonts w:ascii="Georgia" w:hAnsi="Georgia"/>
          <w:sz w:val="24"/>
          <w:szCs w:val="24"/>
        </w:rPr>
        <w:t xml:space="preserve"> E s</w:t>
      </w:r>
      <w:r w:rsidR="002532F1">
        <w:rPr>
          <w:rFonts w:ascii="Georgia" w:hAnsi="Georgia"/>
          <w:sz w:val="24"/>
          <w:szCs w:val="24"/>
        </w:rPr>
        <w:t>uas manifestações, numa conexão direta e</w:t>
      </w:r>
      <w:r w:rsidR="00E05C68">
        <w:rPr>
          <w:rFonts w:ascii="Georgia" w:hAnsi="Georgia"/>
          <w:sz w:val="24"/>
          <w:szCs w:val="24"/>
        </w:rPr>
        <w:t>ntre o imaginário e o real,</w:t>
      </w:r>
      <w:r w:rsidR="005E3AD6">
        <w:rPr>
          <w:rFonts w:ascii="Georgia" w:hAnsi="Georgia"/>
          <w:sz w:val="24"/>
          <w:szCs w:val="24"/>
        </w:rPr>
        <w:t xml:space="preserve"> dispensando</w:t>
      </w:r>
      <w:r w:rsidR="002532F1">
        <w:rPr>
          <w:rFonts w:ascii="Georgia" w:hAnsi="Georgia"/>
          <w:sz w:val="24"/>
          <w:szCs w:val="24"/>
        </w:rPr>
        <w:t xml:space="preserve"> o simbólico, engend</w:t>
      </w:r>
      <w:r w:rsidR="005E3AD6">
        <w:rPr>
          <w:rFonts w:ascii="Georgia" w:hAnsi="Georgia"/>
          <w:sz w:val="24"/>
          <w:szCs w:val="24"/>
        </w:rPr>
        <w:t>ram</w:t>
      </w:r>
      <w:r w:rsidR="002532F1">
        <w:rPr>
          <w:rFonts w:ascii="Georgia" w:hAnsi="Georgia"/>
          <w:sz w:val="24"/>
          <w:szCs w:val="24"/>
        </w:rPr>
        <w:t xml:space="preserve"> arranjos </w:t>
      </w:r>
      <w:r w:rsidR="00BB7D65">
        <w:rPr>
          <w:rFonts w:ascii="Georgia" w:hAnsi="Georgia"/>
          <w:sz w:val="24"/>
          <w:szCs w:val="24"/>
        </w:rPr>
        <w:t>circulares</w:t>
      </w:r>
      <w:r w:rsidR="005E3AD6">
        <w:rPr>
          <w:rFonts w:ascii="Georgia" w:hAnsi="Georgia"/>
          <w:sz w:val="24"/>
          <w:szCs w:val="24"/>
        </w:rPr>
        <w:t xml:space="preserve"> e soluções </w:t>
      </w:r>
      <w:r w:rsidR="002532F1">
        <w:rPr>
          <w:rFonts w:ascii="Georgia" w:hAnsi="Georgia"/>
          <w:sz w:val="24"/>
          <w:szCs w:val="24"/>
        </w:rPr>
        <w:t>prec</w:t>
      </w:r>
      <w:r w:rsidR="005E3AD6">
        <w:rPr>
          <w:rFonts w:ascii="Georgia" w:hAnsi="Georgia"/>
          <w:sz w:val="24"/>
          <w:szCs w:val="24"/>
        </w:rPr>
        <w:t xml:space="preserve">árias, nas quais o especular parece ganhar </w:t>
      </w:r>
      <w:r w:rsidR="002532F1">
        <w:rPr>
          <w:rFonts w:ascii="Georgia" w:hAnsi="Georgia"/>
          <w:sz w:val="24"/>
          <w:szCs w:val="24"/>
        </w:rPr>
        <w:t>prima</w:t>
      </w:r>
      <w:r w:rsidR="004463A3">
        <w:rPr>
          <w:rFonts w:ascii="Georgia" w:hAnsi="Georgia"/>
          <w:sz w:val="24"/>
          <w:szCs w:val="24"/>
        </w:rPr>
        <w:t>zia sobre a alteridade</w:t>
      </w:r>
      <w:r w:rsidR="00737A4E">
        <w:rPr>
          <w:rFonts w:ascii="Georgia" w:hAnsi="Georgia"/>
          <w:sz w:val="24"/>
          <w:szCs w:val="24"/>
        </w:rPr>
        <w:t xml:space="preserve"> e a </w:t>
      </w:r>
      <w:proofErr w:type="spellStart"/>
      <w:r w:rsidR="00737A4E">
        <w:rPr>
          <w:rFonts w:ascii="Georgia" w:hAnsi="Georgia"/>
          <w:sz w:val="24"/>
          <w:szCs w:val="24"/>
        </w:rPr>
        <w:t>extimidade</w:t>
      </w:r>
      <w:proofErr w:type="spellEnd"/>
      <w:r w:rsidR="004463A3">
        <w:rPr>
          <w:rFonts w:ascii="Georgia" w:hAnsi="Georgia"/>
          <w:sz w:val="24"/>
          <w:szCs w:val="24"/>
        </w:rPr>
        <w:t xml:space="preserve">. </w:t>
      </w:r>
      <w:r w:rsidR="00840432">
        <w:rPr>
          <w:rFonts w:ascii="Georgia" w:hAnsi="Georgia"/>
          <w:sz w:val="24"/>
          <w:szCs w:val="24"/>
        </w:rPr>
        <w:t xml:space="preserve">Interrogaremos se haverá, em confluência com a tese de Laurent em “Racismo 2.0”, tributária do “choque dos gozos”, uma “segregação 2.0”, cujo horizonte é aquele das mutações da </w:t>
      </w:r>
      <w:proofErr w:type="spellStart"/>
      <w:r w:rsidR="00840432">
        <w:rPr>
          <w:rFonts w:ascii="Georgia" w:hAnsi="Georgia"/>
          <w:sz w:val="24"/>
          <w:szCs w:val="24"/>
        </w:rPr>
        <w:t>biop</w:t>
      </w:r>
      <w:r w:rsidR="008E46CF">
        <w:rPr>
          <w:rFonts w:ascii="Georgia" w:hAnsi="Georgia"/>
          <w:sz w:val="24"/>
          <w:szCs w:val="24"/>
        </w:rPr>
        <w:t>o</w:t>
      </w:r>
      <w:r w:rsidR="00840432">
        <w:rPr>
          <w:rFonts w:ascii="Georgia" w:hAnsi="Georgia"/>
          <w:sz w:val="24"/>
          <w:szCs w:val="24"/>
        </w:rPr>
        <w:t>lítica</w:t>
      </w:r>
      <w:proofErr w:type="spellEnd"/>
      <w:r w:rsidR="00840432">
        <w:rPr>
          <w:rFonts w:ascii="Georgia" w:hAnsi="Georgia"/>
          <w:sz w:val="24"/>
          <w:szCs w:val="24"/>
        </w:rPr>
        <w:t xml:space="preserve">. </w:t>
      </w:r>
    </w:p>
    <w:p w:rsidR="002A7F15" w:rsidRPr="002A7F15" w:rsidRDefault="000B4287" w:rsidP="00D94074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2A7F15">
        <w:rPr>
          <w:rFonts w:ascii="Georgia" w:hAnsi="Georgia" w:cs="Times New Roman"/>
          <w:sz w:val="24"/>
          <w:szCs w:val="24"/>
        </w:rPr>
        <w:t>O que se rechaça com o rechaço ao simbólico é a diferença significante. E de modo mais amplo</w:t>
      </w:r>
      <w:r w:rsidR="00737A4E">
        <w:rPr>
          <w:rFonts w:ascii="Georgia" w:hAnsi="Georgia" w:cs="Times New Roman"/>
          <w:sz w:val="24"/>
          <w:szCs w:val="24"/>
        </w:rPr>
        <w:t xml:space="preserve">, a diferença no plano </w:t>
      </w:r>
      <w:r w:rsidRPr="002A7F15">
        <w:rPr>
          <w:rFonts w:ascii="Georgia" w:hAnsi="Georgia" w:cs="Times New Roman"/>
          <w:sz w:val="24"/>
          <w:szCs w:val="24"/>
        </w:rPr>
        <w:t>das relações e da cultura. Parece haver uma contradição</w:t>
      </w:r>
      <w:r w:rsidR="00737A4E">
        <w:rPr>
          <w:rFonts w:ascii="Georgia" w:hAnsi="Georgia" w:cs="Times New Roman"/>
          <w:sz w:val="24"/>
          <w:szCs w:val="24"/>
        </w:rPr>
        <w:t xml:space="preserve"> iminente</w:t>
      </w:r>
      <w:r w:rsidRPr="002A7F15">
        <w:rPr>
          <w:rFonts w:ascii="Georgia" w:hAnsi="Georgia" w:cs="Times New Roman"/>
          <w:sz w:val="24"/>
          <w:szCs w:val="24"/>
        </w:rPr>
        <w:t xml:space="preserve"> entre o atual furor das reivindicações pela diversidade, em suas mais variadas manifestações (étnico-racial, religiosa, cultural, de gênero, de orientação sexual, de nacionalidade, de opção política, dentre outras), e o exercício do rechaço à diferença engendrada ao nível do simbólico. </w:t>
      </w:r>
      <w:r w:rsidR="00BB7D65" w:rsidRPr="002A7F15">
        <w:rPr>
          <w:rFonts w:ascii="Georgia" w:hAnsi="Georgia" w:cs="Times New Roman"/>
          <w:sz w:val="24"/>
          <w:szCs w:val="24"/>
        </w:rPr>
        <w:t>As reivindicações e</w:t>
      </w:r>
      <w:r w:rsidR="002532F1" w:rsidRPr="002A7F15">
        <w:rPr>
          <w:rFonts w:ascii="Georgia" w:hAnsi="Georgia" w:cs="Times New Roman"/>
          <w:sz w:val="24"/>
          <w:szCs w:val="24"/>
        </w:rPr>
        <w:t xml:space="preserve"> apelos por igualdade</w:t>
      </w:r>
      <w:r w:rsidR="005E3AD6" w:rsidRPr="002A7F15">
        <w:rPr>
          <w:rFonts w:ascii="Georgia" w:hAnsi="Georgia" w:cs="Times New Roman"/>
          <w:sz w:val="24"/>
          <w:szCs w:val="24"/>
        </w:rPr>
        <w:t xml:space="preserve"> parecem suportar mal</w:t>
      </w:r>
      <w:r w:rsidR="006647B3">
        <w:rPr>
          <w:rFonts w:ascii="Georgia" w:hAnsi="Georgia" w:cs="Times New Roman"/>
          <w:sz w:val="24"/>
          <w:szCs w:val="24"/>
        </w:rPr>
        <w:t>, quando se trata de</w:t>
      </w:r>
      <w:r w:rsidR="00BB7D65" w:rsidRPr="002A7F15">
        <w:rPr>
          <w:rFonts w:ascii="Georgia" w:hAnsi="Georgia" w:cs="Times New Roman"/>
          <w:sz w:val="24"/>
          <w:szCs w:val="24"/>
        </w:rPr>
        <w:t xml:space="preserve"> pagar o</w:t>
      </w:r>
      <w:r w:rsidR="005E3AD6" w:rsidRPr="002A7F15">
        <w:rPr>
          <w:rFonts w:ascii="Georgia" w:hAnsi="Georgia" w:cs="Times New Roman"/>
          <w:sz w:val="24"/>
          <w:szCs w:val="24"/>
        </w:rPr>
        <w:t xml:space="preserve"> quinhão</w:t>
      </w:r>
      <w:r w:rsidR="00436CFA" w:rsidRPr="002A7F15">
        <w:rPr>
          <w:rFonts w:ascii="Georgia" w:hAnsi="Georgia" w:cs="Times New Roman"/>
          <w:sz w:val="24"/>
          <w:szCs w:val="24"/>
        </w:rPr>
        <w:t xml:space="preserve"> cobrado pela implicação subjetiva</w:t>
      </w:r>
      <w:r w:rsidR="005E3AD6" w:rsidRPr="002A7F15">
        <w:rPr>
          <w:rFonts w:ascii="Georgia" w:hAnsi="Georgia" w:cs="Times New Roman"/>
          <w:sz w:val="24"/>
          <w:szCs w:val="24"/>
        </w:rPr>
        <w:t>, ao convocar em seu bojo</w:t>
      </w:r>
      <w:r w:rsidR="005E3AD6" w:rsidRPr="002A7F15">
        <w:rPr>
          <w:rFonts w:ascii="Georgia" w:hAnsi="Georgia"/>
          <w:sz w:val="24"/>
          <w:szCs w:val="24"/>
        </w:rPr>
        <w:t xml:space="preserve"> </w:t>
      </w:r>
      <w:r w:rsidR="002532F1" w:rsidRPr="002A7F15">
        <w:rPr>
          <w:rFonts w:ascii="Georgia" w:hAnsi="Georgia"/>
          <w:sz w:val="24"/>
          <w:szCs w:val="24"/>
        </w:rPr>
        <w:t xml:space="preserve">o horizonte da diferença. </w:t>
      </w:r>
      <w:r w:rsidR="006647B3">
        <w:rPr>
          <w:rFonts w:ascii="Georgia" w:hAnsi="Georgia"/>
          <w:sz w:val="24"/>
          <w:szCs w:val="24"/>
        </w:rPr>
        <w:t>O sujeito contemporâneo já não é aquele regido pela lógica da representação, marcado por uma dívida simbólica. Ele se apresenta como resposta do real.</w:t>
      </w:r>
    </w:p>
    <w:p w:rsidR="002A7F15" w:rsidRDefault="002532F1" w:rsidP="00D94074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2A7F15">
        <w:rPr>
          <w:rFonts w:ascii="Georgia" w:hAnsi="Georgia"/>
          <w:sz w:val="24"/>
          <w:szCs w:val="24"/>
        </w:rPr>
        <w:t>A</w:t>
      </w:r>
      <w:r w:rsidR="00E863AF" w:rsidRPr="002A7F15">
        <w:rPr>
          <w:rFonts w:ascii="Georgia" w:hAnsi="Georgia"/>
          <w:sz w:val="24"/>
          <w:szCs w:val="24"/>
        </w:rPr>
        <w:t>s políticas e os ideais de</w:t>
      </w:r>
      <w:r w:rsidRPr="002A7F15">
        <w:rPr>
          <w:rFonts w:ascii="Georgia" w:hAnsi="Georgia"/>
          <w:sz w:val="24"/>
          <w:szCs w:val="24"/>
        </w:rPr>
        <w:t xml:space="preserve"> inclusão compulsória</w:t>
      </w:r>
      <w:r w:rsidR="00D90817">
        <w:rPr>
          <w:rFonts w:ascii="Georgia" w:hAnsi="Georgia"/>
          <w:sz w:val="24"/>
          <w:szCs w:val="24"/>
        </w:rPr>
        <w:t xml:space="preserve"> se multiplicam, mas</w:t>
      </w:r>
      <w:r>
        <w:rPr>
          <w:rFonts w:ascii="Georgia" w:hAnsi="Georgia"/>
          <w:sz w:val="24"/>
          <w:szCs w:val="24"/>
        </w:rPr>
        <w:t xml:space="preserve"> flerta</w:t>
      </w:r>
      <w:r w:rsidR="00E863AF">
        <w:rPr>
          <w:rFonts w:ascii="Georgia" w:hAnsi="Georgia"/>
          <w:sz w:val="24"/>
          <w:szCs w:val="24"/>
        </w:rPr>
        <w:t xml:space="preserve">m, mesmo sem o saber, </w:t>
      </w:r>
      <w:r>
        <w:rPr>
          <w:rFonts w:ascii="Georgia" w:hAnsi="Georgia"/>
          <w:sz w:val="24"/>
          <w:szCs w:val="24"/>
        </w:rPr>
        <w:t xml:space="preserve">com o </w:t>
      </w:r>
      <w:proofErr w:type="spellStart"/>
      <w:r>
        <w:rPr>
          <w:rFonts w:ascii="Georgia" w:hAnsi="Georgia"/>
          <w:sz w:val="24"/>
          <w:szCs w:val="24"/>
        </w:rPr>
        <w:t>higienismo</w:t>
      </w:r>
      <w:proofErr w:type="spellEnd"/>
      <w:r>
        <w:rPr>
          <w:rFonts w:ascii="Georgia" w:hAnsi="Georgia"/>
          <w:sz w:val="24"/>
          <w:szCs w:val="24"/>
        </w:rPr>
        <w:t>,</w:t>
      </w:r>
      <w:r w:rsidR="000B4287">
        <w:rPr>
          <w:rFonts w:ascii="Georgia" w:hAnsi="Georgia"/>
          <w:sz w:val="24"/>
          <w:szCs w:val="24"/>
        </w:rPr>
        <w:t xml:space="preserve"> já que </w:t>
      </w:r>
      <w:r>
        <w:rPr>
          <w:rFonts w:ascii="Georgia" w:hAnsi="Georgia"/>
          <w:sz w:val="24"/>
          <w:szCs w:val="24"/>
        </w:rPr>
        <w:t>varre</w:t>
      </w:r>
      <w:r w:rsidR="000B4287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 xml:space="preserve"> a diferença para baixo do tapete, quando não se arvora</w:t>
      </w:r>
      <w:r w:rsidR="002A7F15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 xml:space="preserve"> em eliminá-la por completo. Já não estamos no horizonte da universalidade, mas</w:t>
      </w:r>
      <w:r w:rsidR="00E05C68">
        <w:rPr>
          <w:rFonts w:ascii="Georgia" w:hAnsi="Georgia"/>
          <w:sz w:val="24"/>
          <w:szCs w:val="24"/>
        </w:rPr>
        <w:t xml:space="preserve"> naquele da homogeneização. </w:t>
      </w:r>
      <w:r w:rsidR="00BB7D65">
        <w:rPr>
          <w:rFonts w:ascii="Georgia" w:hAnsi="Georgia"/>
          <w:sz w:val="24"/>
          <w:szCs w:val="24"/>
        </w:rPr>
        <w:t xml:space="preserve">A </w:t>
      </w:r>
      <w:proofErr w:type="spellStart"/>
      <w:r w:rsidR="00BB7D65">
        <w:rPr>
          <w:rFonts w:ascii="Georgia" w:hAnsi="Georgia"/>
          <w:sz w:val="24"/>
          <w:szCs w:val="24"/>
        </w:rPr>
        <w:t>biopolítica</w:t>
      </w:r>
      <w:proofErr w:type="spellEnd"/>
      <w:r w:rsidR="002A7F15">
        <w:rPr>
          <w:rFonts w:ascii="Georgia" w:hAnsi="Georgia"/>
          <w:sz w:val="24"/>
          <w:szCs w:val="24"/>
        </w:rPr>
        <w:t xml:space="preserve"> parece</w:t>
      </w:r>
      <w:r w:rsidR="00BB7D65">
        <w:rPr>
          <w:rFonts w:ascii="Georgia" w:hAnsi="Georgia"/>
          <w:sz w:val="24"/>
          <w:szCs w:val="24"/>
        </w:rPr>
        <w:t xml:space="preserve"> já não se funda</w:t>
      </w:r>
      <w:r w:rsidR="002A7F15">
        <w:rPr>
          <w:rFonts w:ascii="Georgia" w:hAnsi="Georgia"/>
          <w:sz w:val="24"/>
          <w:szCs w:val="24"/>
        </w:rPr>
        <w:t>r</w:t>
      </w:r>
      <w:r w:rsidR="00BB7D65">
        <w:rPr>
          <w:rFonts w:ascii="Georgia" w:hAnsi="Georgia"/>
          <w:sz w:val="24"/>
          <w:szCs w:val="24"/>
        </w:rPr>
        <w:t xml:space="preserve"> sobre as me</w:t>
      </w:r>
      <w:r w:rsidR="00D90817">
        <w:rPr>
          <w:rFonts w:ascii="Georgia" w:hAnsi="Georgia"/>
          <w:sz w:val="24"/>
          <w:szCs w:val="24"/>
        </w:rPr>
        <w:t xml:space="preserve">smas premissas sob as quais se </w:t>
      </w:r>
      <w:r w:rsidR="00D90817">
        <w:rPr>
          <w:rFonts w:ascii="Georgia" w:hAnsi="Georgia"/>
          <w:sz w:val="24"/>
          <w:szCs w:val="24"/>
        </w:rPr>
        <w:lastRenderedPageBreak/>
        <w:t>apoiava em</w:t>
      </w:r>
      <w:r w:rsidR="002A7F15">
        <w:rPr>
          <w:rFonts w:ascii="Georgia" w:hAnsi="Georgia"/>
          <w:sz w:val="24"/>
          <w:szCs w:val="24"/>
        </w:rPr>
        <w:t xml:space="preserve"> seu momento “humanista”</w:t>
      </w:r>
      <w:r w:rsidR="002A7F15">
        <w:rPr>
          <w:rStyle w:val="FootnoteReference"/>
          <w:rFonts w:ascii="Georgia" w:hAnsi="Georgia"/>
          <w:sz w:val="24"/>
          <w:szCs w:val="24"/>
        </w:rPr>
        <w:footnoteReference w:id="2"/>
      </w:r>
      <w:r w:rsidR="00BB7D65">
        <w:rPr>
          <w:rFonts w:ascii="Georgia" w:hAnsi="Georgia"/>
          <w:sz w:val="24"/>
          <w:szCs w:val="24"/>
        </w:rPr>
        <w:t xml:space="preserve">, </w:t>
      </w:r>
      <w:r w:rsidR="002A7F15">
        <w:rPr>
          <w:rFonts w:ascii="Georgia" w:hAnsi="Georgia"/>
          <w:sz w:val="24"/>
          <w:szCs w:val="24"/>
        </w:rPr>
        <w:t>representado pelas formulações de Michel Foucault, nas esteira da transição das sociedades disciplinares, para as sociedades de controle. A transição j</w:t>
      </w:r>
      <w:r w:rsidR="00A44847">
        <w:rPr>
          <w:rFonts w:ascii="Georgia" w:hAnsi="Georgia"/>
          <w:sz w:val="24"/>
          <w:szCs w:val="24"/>
        </w:rPr>
        <w:t>á aconteceu</w:t>
      </w:r>
      <w:r w:rsidR="002A7F15">
        <w:rPr>
          <w:rFonts w:ascii="Georgia" w:hAnsi="Georgia"/>
          <w:sz w:val="24"/>
          <w:szCs w:val="24"/>
        </w:rPr>
        <w:t>, e nos tempos que corre</w:t>
      </w:r>
      <w:r w:rsidR="00A44847">
        <w:rPr>
          <w:rFonts w:ascii="Georgia" w:hAnsi="Georgia"/>
          <w:sz w:val="24"/>
          <w:szCs w:val="24"/>
        </w:rPr>
        <w:t>m</w:t>
      </w:r>
      <w:r w:rsidR="002A7F15">
        <w:rPr>
          <w:rFonts w:ascii="Georgia" w:hAnsi="Georgia"/>
          <w:sz w:val="24"/>
          <w:szCs w:val="24"/>
        </w:rPr>
        <w:t xml:space="preserve">, o que triunfa, é a subordinação real da sociedade ao capital: “neste momento, quando a articulação da sociedade e da organização produtiva do capital tendem a se identificar, o </w:t>
      </w:r>
      <w:proofErr w:type="spellStart"/>
      <w:r w:rsidR="002A7F15">
        <w:rPr>
          <w:rFonts w:ascii="Georgia" w:hAnsi="Georgia"/>
          <w:sz w:val="24"/>
          <w:szCs w:val="24"/>
        </w:rPr>
        <w:t>biopolítico</w:t>
      </w:r>
      <w:proofErr w:type="spellEnd"/>
      <w:r w:rsidR="002A7F15">
        <w:rPr>
          <w:rFonts w:ascii="Georgia" w:hAnsi="Georgia"/>
          <w:sz w:val="24"/>
          <w:szCs w:val="24"/>
        </w:rPr>
        <w:t xml:space="preserve"> muda de cara”</w:t>
      </w:r>
      <w:r w:rsidR="002A7F15">
        <w:rPr>
          <w:rStyle w:val="FootnoteReference"/>
          <w:rFonts w:ascii="Georgia" w:hAnsi="Georgia"/>
          <w:sz w:val="24"/>
          <w:szCs w:val="24"/>
        </w:rPr>
        <w:footnoteReference w:id="3"/>
      </w:r>
      <w:r w:rsidR="002A7F15">
        <w:rPr>
          <w:rFonts w:ascii="Georgia" w:hAnsi="Georgia"/>
          <w:sz w:val="24"/>
          <w:szCs w:val="24"/>
        </w:rPr>
        <w:t xml:space="preserve">. </w:t>
      </w:r>
    </w:p>
    <w:p w:rsidR="00202E2A" w:rsidRDefault="00202E2A" w:rsidP="00202E2A">
      <w:pPr>
        <w:spacing w:line="360" w:lineRule="auto"/>
        <w:ind w:firstLine="708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Desdobramentos </w:t>
      </w:r>
    </w:p>
    <w:p w:rsidR="00202E2A" w:rsidRDefault="00202E2A" w:rsidP="00D94074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Encontramos, quanto às </w:t>
      </w:r>
      <w:r w:rsidR="0064696A">
        <w:rPr>
          <w:rFonts w:ascii="Georgia" w:hAnsi="Georgia"/>
          <w:sz w:val="24"/>
          <w:szCs w:val="24"/>
        </w:rPr>
        <w:t>novas faces</w:t>
      </w:r>
      <w:r>
        <w:rPr>
          <w:rFonts w:ascii="Georgia" w:hAnsi="Georgia"/>
          <w:sz w:val="24"/>
          <w:szCs w:val="24"/>
        </w:rPr>
        <w:t xml:space="preserve"> da </w:t>
      </w:r>
      <w:proofErr w:type="spellStart"/>
      <w:r>
        <w:rPr>
          <w:rFonts w:ascii="Georgia" w:hAnsi="Georgia"/>
          <w:sz w:val="24"/>
          <w:szCs w:val="24"/>
        </w:rPr>
        <w:t>biopolítica</w:t>
      </w:r>
      <w:proofErr w:type="spellEnd"/>
      <w:r>
        <w:rPr>
          <w:rFonts w:ascii="Georgia" w:hAnsi="Georgia"/>
          <w:sz w:val="24"/>
          <w:szCs w:val="24"/>
        </w:rPr>
        <w:t xml:space="preserve">, posições </w:t>
      </w:r>
      <w:r w:rsidR="006C3DC4">
        <w:rPr>
          <w:rFonts w:ascii="Georgia" w:hAnsi="Georgia"/>
          <w:sz w:val="24"/>
          <w:szCs w:val="24"/>
        </w:rPr>
        <w:t>variadas</w:t>
      </w:r>
      <w:r>
        <w:rPr>
          <w:rFonts w:ascii="Georgia" w:hAnsi="Georgia"/>
          <w:sz w:val="24"/>
          <w:szCs w:val="24"/>
        </w:rPr>
        <w:t xml:space="preserve">: desde o otimismo de Antônio Negri, ao afirmar que ao mudar de cara, o </w:t>
      </w:r>
      <w:proofErr w:type="spellStart"/>
      <w:r>
        <w:rPr>
          <w:rFonts w:ascii="Georgia" w:hAnsi="Georgia"/>
          <w:sz w:val="24"/>
          <w:szCs w:val="24"/>
        </w:rPr>
        <w:t>biopolítico</w:t>
      </w:r>
      <w:proofErr w:type="spellEnd"/>
      <w:r>
        <w:rPr>
          <w:rFonts w:ascii="Georgia" w:hAnsi="Georgia"/>
          <w:sz w:val="24"/>
          <w:szCs w:val="24"/>
        </w:rPr>
        <w:t xml:space="preserve"> torna-se produtivo, incluindo-se aí, as relações entre </w:t>
      </w:r>
      <w:r w:rsidR="006729A0">
        <w:rPr>
          <w:rFonts w:ascii="Georgia" w:hAnsi="Georgia"/>
          <w:sz w:val="24"/>
          <w:szCs w:val="24"/>
        </w:rPr>
        <w:t xml:space="preserve">os </w:t>
      </w:r>
      <w:r>
        <w:rPr>
          <w:rFonts w:ascii="Georgia" w:hAnsi="Georgia"/>
          <w:sz w:val="24"/>
          <w:szCs w:val="24"/>
        </w:rPr>
        <w:t xml:space="preserve">diferentes conjuntos demográficos </w:t>
      </w:r>
      <w:r w:rsidR="006729A0">
        <w:rPr>
          <w:rFonts w:ascii="Georgia" w:hAnsi="Georgia"/>
          <w:sz w:val="24"/>
          <w:szCs w:val="24"/>
        </w:rPr>
        <w:t>ativos</w:t>
      </w:r>
      <w:r w:rsidR="000747EC">
        <w:rPr>
          <w:rFonts w:ascii="Georgia" w:hAnsi="Georgia"/>
          <w:sz w:val="24"/>
          <w:szCs w:val="24"/>
        </w:rPr>
        <w:t>, tais como</w:t>
      </w:r>
      <w:r w:rsidR="006729A0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a educação, a assistência, a saúde, os transporte</w:t>
      </w:r>
      <w:r w:rsidR="006729A0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, e as estruturas administrativas que os percorrem</w:t>
      </w:r>
      <w:r w:rsidR="000747EC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como expressão direta desta “potência produtiva”, </w:t>
      </w:r>
      <w:r w:rsidR="000747EC">
        <w:rPr>
          <w:rFonts w:ascii="Georgia" w:hAnsi="Georgia"/>
          <w:sz w:val="24"/>
          <w:szCs w:val="24"/>
        </w:rPr>
        <w:t xml:space="preserve">mas </w:t>
      </w:r>
      <w:r>
        <w:rPr>
          <w:rFonts w:ascii="Georgia" w:hAnsi="Georgia"/>
          <w:sz w:val="24"/>
          <w:szCs w:val="24"/>
        </w:rPr>
        <w:t>apostando que a produç</w:t>
      </w:r>
      <w:r w:rsidR="006729A0">
        <w:rPr>
          <w:rFonts w:ascii="Georgia" w:hAnsi="Georgia"/>
          <w:sz w:val="24"/>
          <w:szCs w:val="24"/>
        </w:rPr>
        <w:t>ão social poderá se</w:t>
      </w:r>
      <w:r>
        <w:rPr>
          <w:rFonts w:ascii="Georgia" w:hAnsi="Georgia"/>
          <w:sz w:val="24"/>
          <w:szCs w:val="24"/>
        </w:rPr>
        <w:t xml:space="preserve"> articula</w:t>
      </w:r>
      <w:r w:rsidR="006729A0">
        <w:rPr>
          <w:rFonts w:ascii="Georgia" w:hAnsi="Georgia"/>
          <w:sz w:val="24"/>
          <w:szCs w:val="24"/>
        </w:rPr>
        <w:t>r “completamente” como produção de subjetividade; at</w:t>
      </w:r>
      <w:r w:rsidR="006C3DC4">
        <w:rPr>
          <w:rFonts w:ascii="Georgia" w:hAnsi="Georgia"/>
          <w:sz w:val="24"/>
          <w:szCs w:val="24"/>
        </w:rPr>
        <w:t>é</w:t>
      </w:r>
      <w:r w:rsidR="006729A0">
        <w:rPr>
          <w:rFonts w:ascii="Georgia" w:hAnsi="Georgia"/>
          <w:sz w:val="24"/>
          <w:szCs w:val="24"/>
        </w:rPr>
        <w:t xml:space="preserve"> posições mais pessimistas, passando pela</w:t>
      </w:r>
      <w:r w:rsidR="00EA5AA0">
        <w:rPr>
          <w:rFonts w:ascii="Georgia" w:hAnsi="Georgia"/>
          <w:sz w:val="24"/>
          <w:szCs w:val="24"/>
        </w:rPr>
        <w:t>s inquietações</w:t>
      </w:r>
      <w:r w:rsidR="006729A0">
        <w:rPr>
          <w:rFonts w:ascii="Georgia" w:hAnsi="Georgia"/>
          <w:sz w:val="24"/>
          <w:szCs w:val="24"/>
        </w:rPr>
        <w:t xml:space="preserve"> de </w:t>
      </w:r>
      <w:proofErr w:type="spellStart"/>
      <w:r w:rsidR="006729A0">
        <w:rPr>
          <w:rFonts w:ascii="Georgia" w:hAnsi="Georgia"/>
          <w:sz w:val="24"/>
          <w:szCs w:val="24"/>
        </w:rPr>
        <w:t>Zygmunt</w:t>
      </w:r>
      <w:proofErr w:type="spellEnd"/>
      <w:r w:rsidR="006729A0">
        <w:rPr>
          <w:rFonts w:ascii="Georgia" w:hAnsi="Georgia"/>
          <w:sz w:val="24"/>
          <w:szCs w:val="24"/>
        </w:rPr>
        <w:t xml:space="preserve"> </w:t>
      </w:r>
      <w:proofErr w:type="spellStart"/>
      <w:r w:rsidR="006729A0">
        <w:rPr>
          <w:rFonts w:ascii="Georgia" w:hAnsi="Georgia"/>
          <w:sz w:val="24"/>
          <w:szCs w:val="24"/>
        </w:rPr>
        <w:t>Bauman</w:t>
      </w:r>
      <w:proofErr w:type="spellEnd"/>
      <w:r w:rsidR="006729A0">
        <w:rPr>
          <w:rFonts w:ascii="Georgia" w:hAnsi="Georgia"/>
          <w:sz w:val="24"/>
          <w:szCs w:val="24"/>
        </w:rPr>
        <w:t xml:space="preserve">, que em </w:t>
      </w:r>
      <w:r w:rsidR="006729A0">
        <w:rPr>
          <w:rFonts w:ascii="Georgia" w:hAnsi="Georgia"/>
          <w:i/>
          <w:sz w:val="24"/>
          <w:szCs w:val="24"/>
        </w:rPr>
        <w:t>Vidas desperdiçadas</w:t>
      </w:r>
      <w:r w:rsidR="006729A0">
        <w:rPr>
          <w:rFonts w:ascii="Georgia" w:hAnsi="Georgia"/>
          <w:sz w:val="24"/>
          <w:szCs w:val="24"/>
        </w:rPr>
        <w:t xml:space="preserve"> explicita a relaç</w:t>
      </w:r>
      <w:r w:rsidR="006C3DC4">
        <w:rPr>
          <w:rFonts w:ascii="Georgia" w:hAnsi="Georgia"/>
          <w:sz w:val="24"/>
          <w:szCs w:val="24"/>
        </w:rPr>
        <w:t xml:space="preserve">ão direta entre o imperativo do </w:t>
      </w:r>
      <w:r w:rsidR="006729A0">
        <w:rPr>
          <w:rFonts w:ascii="Georgia" w:hAnsi="Georgia"/>
          <w:sz w:val="24"/>
          <w:szCs w:val="24"/>
        </w:rPr>
        <w:t>consumo</w:t>
      </w:r>
      <w:r w:rsidR="006C3DC4">
        <w:rPr>
          <w:rFonts w:ascii="Georgia" w:hAnsi="Georgia"/>
          <w:sz w:val="24"/>
          <w:szCs w:val="24"/>
        </w:rPr>
        <w:t xml:space="preserve"> como ordenador da vida em comum</w:t>
      </w:r>
      <w:r w:rsidR="006729A0">
        <w:rPr>
          <w:rFonts w:ascii="Georgia" w:hAnsi="Georgia"/>
          <w:sz w:val="24"/>
          <w:szCs w:val="24"/>
        </w:rPr>
        <w:t xml:space="preserve"> e a produção do “refugo da globalização”</w:t>
      </w:r>
      <w:r w:rsidR="006729A0" w:rsidRPr="006729A0">
        <w:rPr>
          <w:rStyle w:val="FootnoteReference"/>
          <w:rFonts w:ascii="Georgia" w:hAnsi="Georgia"/>
          <w:sz w:val="24"/>
          <w:szCs w:val="24"/>
        </w:rPr>
        <w:t xml:space="preserve"> </w:t>
      </w:r>
      <w:r w:rsidR="006729A0">
        <w:rPr>
          <w:rFonts w:ascii="Georgia" w:hAnsi="Georgia"/>
          <w:sz w:val="24"/>
          <w:szCs w:val="24"/>
        </w:rPr>
        <w:t>como “refugo humano”</w:t>
      </w:r>
      <w:r w:rsidR="006729A0">
        <w:rPr>
          <w:rStyle w:val="FootnoteReference"/>
          <w:rFonts w:ascii="Georgia" w:hAnsi="Georgia"/>
          <w:sz w:val="24"/>
          <w:szCs w:val="24"/>
        </w:rPr>
        <w:footnoteReference w:id="4"/>
      </w:r>
      <w:r w:rsidR="006C3DC4">
        <w:rPr>
          <w:rFonts w:ascii="Georgia" w:hAnsi="Georgia"/>
          <w:sz w:val="24"/>
          <w:szCs w:val="24"/>
        </w:rPr>
        <w:t>, formado</w:t>
      </w:r>
      <w:r w:rsidR="006729A0">
        <w:rPr>
          <w:rFonts w:ascii="Georgia" w:hAnsi="Georgia"/>
          <w:sz w:val="24"/>
          <w:szCs w:val="24"/>
        </w:rPr>
        <w:t xml:space="preserve"> pelo cada vez mais populoso contingente de pessoas que jamais conseguirão se incorporar ao sistema produtivo</w:t>
      </w:r>
      <w:r w:rsidR="00EA5AA0">
        <w:rPr>
          <w:rFonts w:ascii="Georgia" w:hAnsi="Georgia"/>
          <w:sz w:val="24"/>
          <w:szCs w:val="24"/>
        </w:rPr>
        <w:t>; ou</w:t>
      </w:r>
      <w:r w:rsidR="000747EC">
        <w:rPr>
          <w:rFonts w:ascii="Georgia" w:hAnsi="Georgia"/>
          <w:sz w:val="24"/>
          <w:szCs w:val="24"/>
        </w:rPr>
        <w:t xml:space="preserve"> ainda, </w:t>
      </w:r>
      <w:r w:rsidR="00EA5AA0">
        <w:rPr>
          <w:rFonts w:ascii="Georgia" w:hAnsi="Georgia"/>
          <w:sz w:val="24"/>
          <w:szCs w:val="24"/>
        </w:rPr>
        <w:t>mais radicalmente</w:t>
      </w:r>
      <w:r w:rsidR="006C3DC4">
        <w:rPr>
          <w:rFonts w:ascii="Georgia" w:hAnsi="Georgia"/>
          <w:sz w:val="24"/>
          <w:szCs w:val="24"/>
        </w:rPr>
        <w:t xml:space="preserve">, </w:t>
      </w:r>
      <w:r w:rsidR="000747EC">
        <w:rPr>
          <w:rFonts w:ascii="Georgia" w:hAnsi="Georgia"/>
          <w:sz w:val="24"/>
          <w:szCs w:val="24"/>
        </w:rPr>
        <w:t xml:space="preserve">a posição de Giorgio </w:t>
      </w:r>
      <w:proofErr w:type="spellStart"/>
      <w:r w:rsidR="000747EC">
        <w:rPr>
          <w:rFonts w:ascii="Georgia" w:hAnsi="Georgia"/>
          <w:sz w:val="24"/>
          <w:szCs w:val="24"/>
        </w:rPr>
        <w:t>Agamben</w:t>
      </w:r>
      <w:proofErr w:type="spellEnd"/>
      <w:r w:rsidR="000747EC">
        <w:rPr>
          <w:rFonts w:ascii="Georgia" w:hAnsi="Georgia"/>
          <w:sz w:val="24"/>
          <w:szCs w:val="24"/>
        </w:rPr>
        <w:t xml:space="preserve">, que em </w:t>
      </w:r>
      <w:r w:rsidR="000747EC">
        <w:rPr>
          <w:rFonts w:ascii="Georgia" w:hAnsi="Georgia"/>
          <w:i/>
          <w:sz w:val="24"/>
          <w:szCs w:val="24"/>
        </w:rPr>
        <w:t xml:space="preserve">Homo </w:t>
      </w:r>
      <w:proofErr w:type="spellStart"/>
      <w:r w:rsidR="000747EC">
        <w:rPr>
          <w:rFonts w:ascii="Georgia" w:hAnsi="Georgia"/>
          <w:i/>
          <w:sz w:val="24"/>
          <w:szCs w:val="24"/>
        </w:rPr>
        <w:t>Sacer</w:t>
      </w:r>
      <w:proofErr w:type="spellEnd"/>
      <w:r w:rsidR="000747EC">
        <w:rPr>
          <w:rFonts w:ascii="Georgia" w:hAnsi="Georgia"/>
          <w:i/>
          <w:sz w:val="24"/>
          <w:szCs w:val="24"/>
        </w:rPr>
        <w:t>, o poder soberano e a vida nua</w:t>
      </w:r>
      <w:r w:rsidR="000747EC">
        <w:rPr>
          <w:rFonts w:ascii="Georgia" w:hAnsi="Georgia"/>
          <w:sz w:val="24"/>
          <w:szCs w:val="24"/>
        </w:rPr>
        <w:t xml:space="preserve">, </w:t>
      </w:r>
      <w:r>
        <w:rPr>
          <w:rFonts w:ascii="Georgia" w:hAnsi="Georgia"/>
          <w:sz w:val="24"/>
          <w:szCs w:val="24"/>
        </w:rPr>
        <w:t xml:space="preserve"> </w:t>
      </w:r>
      <w:r w:rsidR="000747EC">
        <w:rPr>
          <w:rFonts w:ascii="Georgia" w:hAnsi="Georgia"/>
          <w:sz w:val="24"/>
          <w:szCs w:val="24"/>
        </w:rPr>
        <w:t xml:space="preserve">propõe o campo de concentração como “paradigma </w:t>
      </w:r>
      <w:proofErr w:type="spellStart"/>
      <w:r w:rsidR="000747EC">
        <w:rPr>
          <w:rFonts w:ascii="Georgia" w:hAnsi="Georgia"/>
          <w:sz w:val="24"/>
          <w:szCs w:val="24"/>
        </w:rPr>
        <w:t>biopolítico</w:t>
      </w:r>
      <w:proofErr w:type="spellEnd"/>
      <w:r w:rsidR="000747EC">
        <w:rPr>
          <w:rFonts w:ascii="Georgia" w:hAnsi="Georgia"/>
          <w:sz w:val="24"/>
          <w:szCs w:val="24"/>
        </w:rPr>
        <w:t xml:space="preserve"> do ocidente</w:t>
      </w:r>
      <w:r w:rsidR="000747EC" w:rsidRPr="006C3DC4">
        <w:rPr>
          <w:rFonts w:ascii="Georgia" w:hAnsi="Georgia"/>
          <w:sz w:val="24"/>
          <w:szCs w:val="24"/>
        </w:rPr>
        <w:t>”</w:t>
      </w:r>
      <w:r w:rsidR="000747EC" w:rsidRPr="006C3DC4">
        <w:rPr>
          <w:rStyle w:val="FootnoteReference"/>
          <w:rFonts w:ascii="Georgia" w:hAnsi="Georgia"/>
          <w:sz w:val="24"/>
          <w:szCs w:val="24"/>
        </w:rPr>
        <w:footnoteReference w:id="5"/>
      </w:r>
      <w:r w:rsidR="006C3DC4" w:rsidRPr="006C3DC4">
        <w:rPr>
          <w:rFonts w:ascii="Georgia" w:hAnsi="Georgia"/>
          <w:sz w:val="24"/>
          <w:szCs w:val="24"/>
        </w:rPr>
        <w:t>: “o campo é o espaço que se abre quando o estado de exceção começa a tornar-se regra”</w:t>
      </w:r>
      <w:r w:rsidR="006C3DC4" w:rsidRPr="006C3DC4">
        <w:rPr>
          <w:rStyle w:val="FootnoteReference"/>
          <w:rFonts w:ascii="Georgia" w:hAnsi="Georgia"/>
          <w:sz w:val="24"/>
          <w:szCs w:val="24"/>
        </w:rPr>
        <w:footnoteReference w:id="6"/>
      </w:r>
      <w:r w:rsidR="006C3DC4" w:rsidRPr="006C3DC4">
        <w:rPr>
          <w:rFonts w:ascii="Georgia" w:hAnsi="Georgia"/>
          <w:sz w:val="24"/>
          <w:szCs w:val="24"/>
        </w:rPr>
        <w:t>.</w:t>
      </w:r>
      <w:r w:rsidR="009D37F9">
        <w:rPr>
          <w:rFonts w:ascii="Georgia" w:hAnsi="Georgia"/>
          <w:sz w:val="24"/>
          <w:szCs w:val="24"/>
        </w:rPr>
        <w:t xml:space="preserve"> Est</w:t>
      </w:r>
      <w:r w:rsidR="006C3DC4">
        <w:rPr>
          <w:rFonts w:ascii="Georgia" w:hAnsi="Georgia"/>
          <w:sz w:val="24"/>
          <w:szCs w:val="24"/>
        </w:rPr>
        <w:t xml:space="preserve">a </w:t>
      </w:r>
      <w:r w:rsidR="001605F0">
        <w:rPr>
          <w:rFonts w:ascii="Georgia" w:hAnsi="Georgia"/>
          <w:sz w:val="24"/>
          <w:szCs w:val="24"/>
        </w:rPr>
        <w:t>tese</w:t>
      </w:r>
      <w:r w:rsidR="005D0562">
        <w:rPr>
          <w:rFonts w:ascii="Georgia" w:hAnsi="Georgia"/>
          <w:sz w:val="24"/>
          <w:szCs w:val="24"/>
        </w:rPr>
        <w:t xml:space="preserve"> </w:t>
      </w:r>
      <w:r w:rsidR="006C3DC4">
        <w:rPr>
          <w:rFonts w:ascii="Georgia" w:hAnsi="Georgia"/>
          <w:sz w:val="24"/>
          <w:szCs w:val="24"/>
        </w:rPr>
        <w:t xml:space="preserve">será mais amplamente </w:t>
      </w:r>
      <w:r w:rsidR="005D0562">
        <w:rPr>
          <w:rFonts w:ascii="Georgia" w:hAnsi="Georgia"/>
          <w:sz w:val="24"/>
          <w:szCs w:val="24"/>
        </w:rPr>
        <w:t xml:space="preserve">desenvolvida em </w:t>
      </w:r>
      <w:r w:rsidR="005D0562" w:rsidRPr="005D0562">
        <w:rPr>
          <w:rFonts w:ascii="Georgia" w:hAnsi="Georgia"/>
          <w:i/>
          <w:sz w:val="24"/>
          <w:szCs w:val="24"/>
        </w:rPr>
        <w:t>O que resta de Auschwitz</w:t>
      </w:r>
      <w:r w:rsidR="005D0562">
        <w:rPr>
          <w:rFonts w:ascii="Georgia" w:hAnsi="Georgia"/>
          <w:sz w:val="24"/>
          <w:szCs w:val="24"/>
        </w:rPr>
        <w:t xml:space="preserve">, </w:t>
      </w:r>
      <w:r w:rsidR="006B7608">
        <w:rPr>
          <w:rFonts w:ascii="Georgia" w:hAnsi="Georgia"/>
          <w:sz w:val="24"/>
          <w:szCs w:val="24"/>
        </w:rPr>
        <w:t>através da ampliação do</w:t>
      </w:r>
      <w:r w:rsidR="00615FFF">
        <w:rPr>
          <w:rFonts w:ascii="Georgia" w:hAnsi="Georgia"/>
          <w:sz w:val="24"/>
          <w:szCs w:val="24"/>
        </w:rPr>
        <w:t xml:space="preserve"> espectro da lógica que rege o campo de concentração </w:t>
      </w:r>
      <w:r w:rsidR="006B7608">
        <w:rPr>
          <w:rFonts w:ascii="Georgia" w:hAnsi="Georgia"/>
          <w:sz w:val="24"/>
          <w:szCs w:val="24"/>
        </w:rPr>
        <w:t>“</w:t>
      </w:r>
      <w:r w:rsidR="00615FFF">
        <w:rPr>
          <w:rFonts w:ascii="Georgia" w:hAnsi="Georgia"/>
          <w:sz w:val="24"/>
          <w:szCs w:val="24"/>
        </w:rPr>
        <w:t>à</w:t>
      </w:r>
      <w:r w:rsidR="00EA5AA0">
        <w:rPr>
          <w:rFonts w:ascii="Georgia" w:hAnsi="Georgia"/>
          <w:sz w:val="24"/>
          <w:szCs w:val="24"/>
        </w:rPr>
        <w:t xml:space="preserve"> </w:t>
      </w:r>
      <w:r w:rsidR="00615FFF">
        <w:rPr>
          <w:rFonts w:ascii="Georgia" w:hAnsi="Georgia"/>
          <w:sz w:val="24"/>
          <w:szCs w:val="24"/>
        </w:rPr>
        <w:t xml:space="preserve">ambição suprema do </w:t>
      </w:r>
      <w:proofErr w:type="spellStart"/>
      <w:r w:rsidR="00615FFF">
        <w:rPr>
          <w:rFonts w:ascii="Georgia" w:hAnsi="Georgia"/>
          <w:sz w:val="24"/>
          <w:szCs w:val="24"/>
        </w:rPr>
        <w:t>biopoder</w:t>
      </w:r>
      <w:proofErr w:type="spellEnd"/>
      <w:r w:rsidR="00615FFF">
        <w:rPr>
          <w:rFonts w:ascii="Georgia" w:hAnsi="Georgia"/>
          <w:sz w:val="24"/>
          <w:szCs w:val="24"/>
        </w:rPr>
        <w:t xml:space="preserve"> em produzir em um corpo humano</w:t>
      </w:r>
      <w:r w:rsidR="00FF3B0D">
        <w:rPr>
          <w:rFonts w:ascii="Georgia" w:hAnsi="Georgia"/>
          <w:sz w:val="24"/>
          <w:szCs w:val="24"/>
        </w:rPr>
        <w:t>,</w:t>
      </w:r>
      <w:r w:rsidR="00615FFF">
        <w:rPr>
          <w:rFonts w:ascii="Georgia" w:hAnsi="Georgia"/>
          <w:sz w:val="24"/>
          <w:szCs w:val="24"/>
        </w:rPr>
        <w:t xml:space="preserve"> a separação absoluta entre o ser vivo e o ser que fala</w:t>
      </w:r>
      <w:r w:rsidR="006B7608">
        <w:rPr>
          <w:rFonts w:ascii="Georgia" w:hAnsi="Georgia"/>
          <w:sz w:val="24"/>
          <w:szCs w:val="24"/>
        </w:rPr>
        <w:t>”</w:t>
      </w:r>
      <w:r w:rsidR="006B7608">
        <w:rPr>
          <w:rStyle w:val="FootnoteReference"/>
          <w:rFonts w:ascii="Georgia" w:hAnsi="Georgia"/>
          <w:sz w:val="24"/>
          <w:szCs w:val="24"/>
        </w:rPr>
        <w:footnoteReference w:id="7"/>
      </w:r>
      <w:r w:rsidR="00EA5AA0">
        <w:rPr>
          <w:rFonts w:ascii="Georgia" w:hAnsi="Georgia"/>
          <w:sz w:val="24"/>
          <w:szCs w:val="24"/>
        </w:rPr>
        <w:t>,</w:t>
      </w:r>
      <w:r w:rsidR="006C3883">
        <w:rPr>
          <w:rFonts w:ascii="Georgia" w:hAnsi="Georgia"/>
          <w:sz w:val="24"/>
          <w:szCs w:val="24"/>
        </w:rPr>
        <w:t xml:space="preserve"> ao que acrescentamos</w:t>
      </w:r>
      <w:r w:rsidR="001605F0">
        <w:rPr>
          <w:rFonts w:ascii="Georgia" w:hAnsi="Georgia"/>
          <w:sz w:val="24"/>
          <w:szCs w:val="24"/>
        </w:rPr>
        <w:t xml:space="preserve">, </w:t>
      </w:r>
      <w:r w:rsidR="00615FFF" w:rsidRPr="00615FFF">
        <w:rPr>
          <w:rFonts w:ascii="Georgia" w:hAnsi="Georgia"/>
          <w:sz w:val="24"/>
          <w:szCs w:val="24"/>
        </w:rPr>
        <w:t xml:space="preserve">entre </w:t>
      </w:r>
      <w:r w:rsidR="001605F0">
        <w:rPr>
          <w:rFonts w:ascii="Georgia" w:hAnsi="Georgia"/>
          <w:sz w:val="24"/>
          <w:szCs w:val="24"/>
        </w:rPr>
        <w:t>o cor</w:t>
      </w:r>
      <w:r w:rsidR="00615FFF">
        <w:rPr>
          <w:rFonts w:ascii="Georgia" w:hAnsi="Georgia"/>
          <w:sz w:val="24"/>
          <w:szCs w:val="24"/>
        </w:rPr>
        <w:t>po vivente e o corpo falante.</w:t>
      </w:r>
      <w:r w:rsidR="009D37F9">
        <w:rPr>
          <w:rFonts w:ascii="Georgia" w:hAnsi="Georgia"/>
          <w:sz w:val="24"/>
          <w:szCs w:val="24"/>
        </w:rPr>
        <w:t xml:space="preserve"> Seu paradigma é uma</w:t>
      </w:r>
      <w:r w:rsidR="001605F0">
        <w:rPr>
          <w:rFonts w:ascii="Georgia" w:hAnsi="Georgia"/>
          <w:sz w:val="24"/>
          <w:szCs w:val="24"/>
        </w:rPr>
        <w:t xml:space="preserve"> </w:t>
      </w:r>
      <w:r w:rsidR="009D37F9">
        <w:rPr>
          <w:rFonts w:ascii="Georgia" w:hAnsi="Georgia"/>
          <w:sz w:val="24"/>
          <w:szCs w:val="24"/>
        </w:rPr>
        <w:t>“</w:t>
      </w:r>
      <w:r w:rsidR="001605F0">
        <w:rPr>
          <w:rFonts w:ascii="Georgia" w:hAnsi="Georgia"/>
          <w:sz w:val="24"/>
          <w:szCs w:val="24"/>
        </w:rPr>
        <w:t>cifra</w:t>
      </w:r>
      <w:r w:rsidR="009D37F9">
        <w:rPr>
          <w:rFonts w:ascii="Georgia" w:hAnsi="Georgia"/>
          <w:sz w:val="24"/>
          <w:szCs w:val="24"/>
        </w:rPr>
        <w:t>” maldita, n</w:t>
      </w:r>
      <w:r w:rsidR="00EA5AA0">
        <w:rPr>
          <w:rFonts w:ascii="Georgia" w:hAnsi="Georgia"/>
          <w:sz w:val="24"/>
          <w:szCs w:val="24"/>
        </w:rPr>
        <w:t>o jargão do campo</w:t>
      </w:r>
      <w:r w:rsidR="006C3DC4">
        <w:rPr>
          <w:rFonts w:ascii="Georgia" w:hAnsi="Georgia"/>
          <w:sz w:val="24"/>
          <w:szCs w:val="24"/>
        </w:rPr>
        <w:t xml:space="preserve"> de concentração</w:t>
      </w:r>
      <w:r w:rsidR="00EA5AA0">
        <w:rPr>
          <w:rFonts w:ascii="Georgia" w:hAnsi="Georgia"/>
          <w:sz w:val="24"/>
          <w:szCs w:val="24"/>
        </w:rPr>
        <w:t xml:space="preserve">, </w:t>
      </w:r>
      <w:r w:rsidR="001605F0">
        <w:rPr>
          <w:rFonts w:ascii="Georgia" w:hAnsi="Georgia"/>
          <w:sz w:val="24"/>
          <w:szCs w:val="24"/>
        </w:rPr>
        <w:t xml:space="preserve">o </w:t>
      </w:r>
      <w:r w:rsidR="001605F0">
        <w:rPr>
          <w:rFonts w:ascii="Georgia" w:hAnsi="Georgia"/>
          <w:sz w:val="24"/>
          <w:szCs w:val="24"/>
        </w:rPr>
        <w:lastRenderedPageBreak/>
        <w:t xml:space="preserve">chamado </w:t>
      </w:r>
      <w:proofErr w:type="spellStart"/>
      <w:r w:rsidR="001605F0" w:rsidRPr="00EA5AA0">
        <w:rPr>
          <w:rFonts w:ascii="Georgia" w:hAnsi="Georgia"/>
          <w:i/>
          <w:sz w:val="24"/>
          <w:szCs w:val="24"/>
        </w:rPr>
        <w:t>muselmann</w:t>
      </w:r>
      <w:proofErr w:type="spellEnd"/>
      <w:r w:rsidR="00EA5AA0">
        <w:rPr>
          <w:rFonts w:ascii="Georgia" w:hAnsi="Georgia"/>
          <w:sz w:val="24"/>
          <w:szCs w:val="24"/>
        </w:rPr>
        <w:t>: aquele que não apenas excluído do contexto político e social ao qual havia p</w:t>
      </w:r>
      <w:r w:rsidR="009D37F9">
        <w:rPr>
          <w:rFonts w:ascii="Georgia" w:hAnsi="Georgia"/>
          <w:sz w:val="24"/>
          <w:szCs w:val="24"/>
        </w:rPr>
        <w:t xml:space="preserve">ertencido, </w:t>
      </w:r>
      <w:r w:rsidR="00EA5AA0">
        <w:rPr>
          <w:rFonts w:ascii="Georgia" w:hAnsi="Georgia"/>
          <w:sz w:val="24"/>
          <w:szCs w:val="24"/>
        </w:rPr>
        <w:t>confinado e submetido às mais precárias condições de sobrevivência, “era votado em um futuro mais ou meno</w:t>
      </w:r>
      <w:r w:rsidR="006C3DC4">
        <w:rPr>
          <w:rFonts w:ascii="Georgia" w:hAnsi="Georgia"/>
          <w:sz w:val="24"/>
          <w:szCs w:val="24"/>
        </w:rPr>
        <w:t>s</w:t>
      </w:r>
      <w:r w:rsidR="00EA5AA0">
        <w:rPr>
          <w:rFonts w:ascii="Georgia" w:hAnsi="Georgia"/>
          <w:sz w:val="24"/>
          <w:szCs w:val="24"/>
        </w:rPr>
        <w:t xml:space="preserve"> próximo, à morte... Mudo e absolutamente só... sem memória nem comiseração”</w:t>
      </w:r>
      <w:r w:rsidR="00EA5AA0">
        <w:rPr>
          <w:rStyle w:val="FootnoteReference"/>
          <w:rFonts w:ascii="Georgia" w:hAnsi="Georgia"/>
          <w:sz w:val="24"/>
          <w:szCs w:val="24"/>
        </w:rPr>
        <w:footnoteReference w:id="8"/>
      </w:r>
      <w:r w:rsidR="00EA5AA0">
        <w:rPr>
          <w:rFonts w:ascii="Georgia" w:hAnsi="Georgia"/>
          <w:sz w:val="24"/>
          <w:szCs w:val="24"/>
        </w:rPr>
        <w:t>. Ao qu</w:t>
      </w:r>
      <w:r w:rsidR="009D37F9">
        <w:rPr>
          <w:rFonts w:ascii="Georgia" w:hAnsi="Georgia"/>
          <w:sz w:val="24"/>
          <w:szCs w:val="24"/>
        </w:rPr>
        <w:t>e indaga: o</w:t>
      </w:r>
      <w:r w:rsidR="00EA5AA0">
        <w:rPr>
          <w:rFonts w:ascii="Georgia" w:hAnsi="Georgia"/>
          <w:sz w:val="24"/>
          <w:szCs w:val="24"/>
        </w:rPr>
        <w:t xml:space="preserve"> que é a vida do mulçumano? É pura </w:t>
      </w:r>
      <w:proofErr w:type="spellStart"/>
      <w:r w:rsidR="00EA5AA0">
        <w:rPr>
          <w:rFonts w:ascii="Georgia" w:hAnsi="Georgia"/>
          <w:i/>
          <w:sz w:val="24"/>
          <w:szCs w:val="24"/>
        </w:rPr>
        <w:t>zoé</w:t>
      </w:r>
      <w:proofErr w:type="spellEnd"/>
      <w:r w:rsidR="00EA5AA0">
        <w:rPr>
          <w:rFonts w:ascii="Georgia" w:hAnsi="Georgia"/>
          <w:i/>
          <w:sz w:val="24"/>
          <w:szCs w:val="24"/>
        </w:rPr>
        <w:t>?</w:t>
      </w:r>
      <w:r w:rsidR="006B7608" w:rsidRPr="006B7608">
        <w:rPr>
          <w:rStyle w:val="FootnoteReference"/>
          <w:rFonts w:ascii="Georgia" w:hAnsi="Georgia"/>
          <w:sz w:val="24"/>
          <w:szCs w:val="24"/>
        </w:rPr>
        <w:t xml:space="preserve"> </w:t>
      </w:r>
      <w:r w:rsidR="006B7608">
        <w:rPr>
          <w:rStyle w:val="FootnoteReference"/>
          <w:rFonts w:ascii="Georgia" w:hAnsi="Georgia"/>
          <w:sz w:val="24"/>
          <w:szCs w:val="24"/>
        </w:rPr>
        <w:footnoteReference w:id="9"/>
      </w:r>
      <w:r w:rsidR="00EA5AA0">
        <w:rPr>
          <w:rFonts w:ascii="Georgia" w:hAnsi="Georgia"/>
          <w:i/>
          <w:sz w:val="24"/>
          <w:szCs w:val="24"/>
        </w:rPr>
        <w:t xml:space="preserve"> </w:t>
      </w:r>
      <w:r w:rsidR="00EA5AA0" w:rsidRPr="00EA5AA0">
        <w:rPr>
          <w:rFonts w:ascii="Georgia" w:hAnsi="Georgia"/>
          <w:sz w:val="24"/>
          <w:szCs w:val="24"/>
        </w:rPr>
        <w:t xml:space="preserve">Nem isto é possível inferir, pois </w:t>
      </w:r>
      <w:r w:rsidR="00EA5AA0">
        <w:rPr>
          <w:rFonts w:ascii="Georgia" w:hAnsi="Georgia"/>
          <w:sz w:val="24"/>
          <w:szCs w:val="24"/>
        </w:rPr>
        <w:t>nele</w:t>
      </w:r>
      <w:r w:rsidR="009D37F9">
        <w:rPr>
          <w:rFonts w:ascii="Georgia" w:hAnsi="Georgia"/>
          <w:sz w:val="24"/>
          <w:szCs w:val="24"/>
        </w:rPr>
        <w:t>,</w:t>
      </w:r>
      <w:r w:rsidR="00EA5AA0">
        <w:rPr>
          <w:rFonts w:ascii="Georgia" w:hAnsi="Georgia"/>
          <w:sz w:val="24"/>
          <w:szCs w:val="24"/>
        </w:rPr>
        <w:t xml:space="preserve"> </w:t>
      </w:r>
      <w:r w:rsidR="009D37F9">
        <w:rPr>
          <w:rFonts w:ascii="Georgia" w:hAnsi="Georgia"/>
          <w:sz w:val="24"/>
          <w:szCs w:val="24"/>
        </w:rPr>
        <w:t xml:space="preserve"> n</w:t>
      </w:r>
      <w:r w:rsidR="00EA5AA0" w:rsidRPr="00EA5AA0">
        <w:rPr>
          <w:rFonts w:ascii="Georgia" w:hAnsi="Georgia"/>
          <w:sz w:val="24"/>
          <w:szCs w:val="24"/>
        </w:rPr>
        <w:t>ão</w:t>
      </w:r>
      <w:r w:rsidR="009D37F9">
        <w:rPr>
          <w:rFonts w:ascii="Georgia" w:hAnsi="Georgia"/>
          <w:sz w:val="24"/>
          <w:szCs w:val="24"/>
        </w:rPr>
        <w:t xml:space="preserve"> existe nada de natural</w:t>
      </w:r>
      <w:r w:rsidR="00EA5AA0">
        <w:rPr>
          <w:rFonts w:ascii="Georgia" w:hAnsi="Georgia"/>
          <w:sz w:val="24"/>
          <w:szCs w:val="24"/>
        </w:rPr>
        <w:t xml:space="preserve"> nem de co</w:t>
      </w:r>
      <w:r w:rsidR="009D37F9">
        <w:rPr>
          <w:rFonts w:ascii="Georgia" w:hAnsi="Georgia"/>
          <w:sz w:val="24"/>
          <w:szCs w:val="24"/>
        </w:rPr>
        <w:t>mum</w:t>
      </w:r>
      <w:r w:rsidR="00EA5AA0">
        <w:rPr>
          <w:rFonts w:ascii="Georgia" w:hAnsi="Georgia"/>
          <w:sz w:val="24"/>
          <w:szCs w:val="24"/>
        </w:rPr>
        <w:t>. Junto com a razão, s</w:t>
      </w:r>
      <w:r w:rsidR="009D37F9">
        <w:rPr>
          <w:rFonts w:ascii="Georgia" w:hAnsi="Georgia"/>
          <w:sz w:val="24"/>
          <w:szCs w:val="24"/>
        </w:rPr>
        <w:t>eus instintos foram aniquilados, c</w:t>
      </w:r>
      <w:r w:rsidR="00EA5AA0">
        <w:rPr>
          <w:rFonts w:ascii="Georgia" w:hAnsi="Georgia"/>
          <w:sz w:val="24"/>
          <w:szCs w:val="24"/>
        </w:rPr>
        <w:t>ondenado à pura indistinção e homogeneização.</w:t>
      </w:r>
    </w:p>
    <w:p w:rsidR="00DD71B8" w:rsidRDefault="00DD71B8" w:rsidP="00DD71B8">
      <w:pPr>
        <w:spacing w:line="360" w:lineRule="auto"/>
        <w:ind w:firstLine="708"/>
        <w:jc w:val="both"/>
        <w:rPr>
          <w:rFonts w:ascii="Georgia" w:eastAsia="Times New Roman" w:hAnsi="Georgia" w:cs="Times New Roman"/>
          <w:sz w:val="24"/>
          <w:szCs w:val="24"/>
          <w:lang w:eastAsia="pt-BR"/>
        </w:rPr>
      </w:pPr>
      <w:r>
        <w:rPr>
          <w:rFonts w:ascii="Georgia" w:eastAsia="Times New Roman" w:hAnsi="Georgia" w:cs="Times New Roman"/>
          <w:sz w:val="24"/>
          <w:szCs w:val="24"/>
          <w:lang w:eastAsia="pt-BR"/>
        </w:rPr>
        <w:t xml:space="preserve">Foi </w:t>
      </w:r>
      <w:r>
        <w:rPr>
          <w:rFonts w:ascii="Georgia" w:hAnsi="Georgia"/>
          <w:sz w:val="24"/>
          <w:szCs w:val="24"/>
        </w:rPr>
        <w:t xml:space="preserve">Ernesto </w:t>
      </w:r>
      <w:proofErr w:type="spellStart"/>
      <w:r>
        <w:rPr>
          <w:rFonts w:ascii="Georgia" w:hAnsi="Georgia"/>
          <w:sz w:val="24"/>
          <w:szCs w:val="24"/>
        </w:rPr>
        <w:t>Laclau</w:t>
      </w:r>
      <w:proofErr w:type="spellEnd"/>
      <w:r>
        <w:rPr>
          <w:rFonts w:ascii="Georgia" w:hAnsi="Georgia"/>
          <w:sz w:val="24"/>
          <w:szCs w:val="24"/>
        </w:rPr>
        <w:t xml:space="preserve"> quem, em </w:t>
      </w:r>
      <w:r>
        <w:rPr>
          <w:rFonts w:ascii="Georgia" w:hAnsi="Georgia"/>
          <w:i/>
          <w:sz w:val="24"/>
          <w:szCs w:val="24"/>
        </w:rPr>
        <w:t>Debates y combates</w:t>
      </w:r>
      <w:r>
        <w:rPr>
          <w:rFonts w:ascii="Georgia" w:hAnsi="Georgia"/>
          <w:sz w:val="24"/>
          <w:szCs w:val="24"/>
        </w:rPr>
        <w:t xml:space="preserve">, objetou que a vida nua e o </w:t>
      </w:r>
      <w:r>
        <w:rPr>
          <w:rFonts w:ascii="Georgia" w:hAnsi="Georgia"/>
          <w:i/>
          <w:sz w:val="24"/>
          <w:szCs w:val="24"/>
        </w:rPr>
        <w:t xml:space="preserve">homo </w:t>
      </w:r>
      <w:proofErr w:type="spellStart"/>
      <w:r>
        <w:rPr>
          <w:rFonts w:ascii="Georgia" w:hAnsi="Georgia"/>
          <w:i/>
          <w:sz w:val="24"/>
          <w:szCs w:val="24"/>
        </w:rPr>
        <w:t>sacer</w:t>
      </w:r>
      <w:proofErr w:type="spellEnd"/>
      <w:r>
        <w:rPr>
          <w:rFonts w:ascii="Georgia" w:hAnsi="Georgia"/>
          <w:sz w:val="24"/>
          <w:szCs w:val="24"/>
        </w:rPr>
        <w:t xml:space="preserve"> só se apresentariam no horizonte de condições extremas, não devendo ser elevados ao </w:t>
      </w:r>
      <w:r w:rsidRPr="00E970C3">
        <w:rPr>
          <w:rFonts w:ascii="Georgia" w:hAnsi="Georgia"/>
          <w:i/>
          <w:sz w:val="24"/>
          <w:szCs w:val="24"/>
        </w:rPr>
        <w:t>hall</w:t>
      </w:r>
      <w:r>
        <w:rPr>
          <w:rFonts w:ascii="Georgia" w:hAnsi="Georgia"/>
          <w:sz w:val="24"/>
          <w:szCs w:val="24"/>
        </w:rPr>
        <w:t xml:space="preserve"> dos paradigmas</w:t>
      </w:r>
      <w:r>
        <w:rPr>
          <w:rStyle w:val="FootnoteReference"/>
          <w:rFonts w:ascii="Georgia" w:hAnsi="Georgia"/>
          <w:sz w:val="24"/>
          <w:szCs w:val="24"/>
        </w:rPr>
        <w:footnoteReference w:id="10"/>
      </w:r>
      <w:r>
        <w:rPr>
          <w:rFonts w:ascii="Georgia" w:hAnsi="Georgia"/>
          <w:sz w:val="24"/>
          <w:szCs w:val="24"/>
        </w:rPr>
        <w:t>. Mas p</w:t>
      </w:r>
      <w:r w:rsidR="006B7608">
        <w:rPr>
          <w:rFonts w:ascii="Georgia" w:hAnsi="Georgia"/>
          <w:sz w:val="24"/>
          <w:szCs w:val="24"/>
        </w:rPr>
        <w:t>esem-se as cr</w:t>
      </w:r>
      <w:r w:rsidR="00E970C3">
        <w:rPr>
          <w:rFonts w:ascii="Georgia" w:hAnsi="Georgia"/>
          <w:sz w:val="24"/>
          <w:szCs w:val="24"/>
        </w:rPr>
        <w:t>íticas</w:t>
      </w:r>
      <w:r w:rsidR="006B7608">
        <w:rPr>
          <w:rFonts w:ascii="Georgia" w:hAnsi="Georgia"/>
          <w:sz w:val="24"/>
          <w:szCs w:val="24"/>
        </w:rPr>
        <w:t xml:space="preserve"> </w:t>
      </w:r>
      <w:r w:rsidR="0049579D">
        <w:rPr>
          <w:rFonts w:ascii="Georgia" w:hAnsi="Georgia"/>
          <w:sz w:val="24"/>
          <w:szCs w:val="24"/>
        </w:rPr>
        <w:t xml:space="preserve">a </w:t>
      </w:r>
      <w:proofErr w:type="spellStart"/>
      <w:r w:rsidR="0049579D">
        <w:rPr>
          <w:rFonts w:ascii="Georgia" w:hAnsi="Georgia"/>
          <w:sz w:val="24"/>
          <w:szCs w:val="24"/>
        </w:rPr>
        <w:t>Agamben</w:t>
      </w:r>
      <w:proofErr w:type="spellEnd"/>
      <w:r w:rsidR="0049579D">
        <w:rPr>
          <w:rFonts w:ascii="Georgia" w:hAnsi="Georgia"/>
          <w:sz w:val="24"/>
          <w:szCs w:val="24"/>
        </w:rPr>
        <w:t xml:space="preserve"> quando propõe</w:t>
      </w:r>
      <w:r>
        <w:rPr>
          <w:rFonts w:ascii="Georgia" w:hAnsi="Georgia"/>
          <w:sz w:val="24"/>
          <w:szCs w:val="24"/>
        </w:rPr>
        <w:t xml:space="preserve"> </w:t>
      </w:r>
      <w:r w:rsidR="006B7608">
        <w:rPr>
          <w:rFonts w:ascii="Georgia" w:hAnsi="Georgia"/>
          <w:sz w:val="24"/>
          <w:szCs w:val="24"/>
        </w:rPr>
        <w:t>o campo de concentraç</w:t>
      </w:r>
      <w:r w:rsidR="00E970C3">
        <w:rPr>
          <w:rFonts w:ascii="Georgia" w:hAnsi="Georgia"/>
          <w:sz w:val="24"/>
          <w:szCs w:val="24"/>
        </w:rPr>
        <w:t>ão</w:t>
      </w:r>
      <w:r w:rsidR="006B7608">
        <w:rPr>
          <w:rFonts w:ascii="Georgia" w:hAnsi="Georgia"/>
          <w:sz w:val="24"/>
          <w:szCs w:val="24"/>
        </w:rPr>
        <w:t xml:space="preserve"> </w:t>
      </w:r>
      <w:r w:rsidR="00461F9A">
        <w:rPr>
          <w:rFonts w:ascii="Georgia" w:hAnsi="Georgia"/>
          <w:sz w:val="24"/>
          <w:szCs w:val="24"/>
        </w:rPr>
        <w:t xml:space="preserve">como paradigma </w:t>
      </w:r>
      <w:proofErr w:type="spellStart"/>
      <w:r w:rsidR="00461F9A">
        <w:rPr>
          <w:rFonts w:ascii="Georgia" w:hAnsi="Georgia"/>
          <w:sz w:val="24"/>
          <w:szCs w:val="24"/>
        </w:rPr>
        <w:t>biopolítico</w:t>
      </w:r>
      <w:proofErr w:type="spellEnd"/>
      <w:r w:rsidR="00461F9A">
        <w:rPr>
          <w:rFonts w:ascii="Georgia" w:hAnsi="Georgia"/>
          <w:sz w:val="24"/>
          <w:szCs w:val="24"/>
        </w:rPr>
        <w:t xml:space="preserve"> do O</w:t>
      </w:r>
      <w:r w:rsidR="006B7608">
        <w:rPr>
          <w:rFonts w:ascii="Georgia" w:hAnsi="Georgia"/>
          <w:sz w:val="24"/>
          <w:szCs w:val="24"/>
        </w:rPr>
        <w:t>cidente,</w:t>
      </w:r>
      <w:r w:rsidR="001237D5">
        <w:rPr>
          <w:rFonts w:ascii="Georgia" w:hAnsi="Georgia"/>
          <w:sz w:val="24"/>
          <w:szCs w:val="24"/>
        </w:rPr>
        <w:t xml:space="preserve"> sua tese encontra</w:t>
      </w:r>
      <w:r w:rsidR="00816BDE">
        <w:rPr>
          <w:rFonts w:ascii="Georgia" w:hAnsi="Georgia"/>
          <w:sz w:val="24"/>
          <w:szCs w:val="24"/>
        </w:rPr>
        <w:t xml:space="preserve"> após quase um século, </w:t>
      </w:r>
      <w:r w:rsidR="001237D5">
        <w:rPr>
          <w:rFonts w:ascii="Georgia" w:hAnsi="Georgia"/>
          <w:sz w:val="24"/>
          <w:szCs w:val="24"/>
        </w:rPr>
        <w:t>uma inquietante confluência com as origens do conceito</w:t>
      </w:r>
      <w:r>
        <w:rPr>
          <w:rFonts w:ascii="Georgia" w:hAnsi="Georgia"/>
          <w:sz w:val="24"/>
          <w:szCs w:val="24"/>
        </w:rPr>
        <w:t xml:space="preserve"> de </w:t>
      </w:r>
      <w:proofErr w:type="spellStart"/>
      <w:r>
        <w:rPr>
          <w:rFonts w:ascii="Georgia" w:hAnsi="Georgia"/>
          <w:sz w:val="24"/>
          <w:szCs w:val="24"/>
        </w:rPr>
        <w:t>biopolítica</w:t>
      </w:r>
      <w:proofErr w:type="spellEnd"/>
      <w:r w:rsidR="00E970C3">
        <w:rPr>
          <w:rFonts w:ascii="Georgia" w:eastAsia="Times New Roman" w:hAnsi="Georgia" w:cs="Times New Roman"/>
          <w:sz w:val="24"/>
          <w:szCs w:val="24"/>
          <w:lang w:eastAsia="pt-BR"/>
        </w:rPr>
        <w:t xml:space="preserve">. </w:t>
      </w:r>
    </w:p>
    <w:p w:rsidR="002C4FCB" w:rsidRDefault="002E7882" w:rsidP="00DD71B8">
      <w:pPr>
        <w:spacing w:line="360" w:lineRule="auto"/>
        <w:ind w:firstLine="708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Se retomarmos os primórdios</w:t>
      </w:r>
      <w:r w:rsidR="00DD71B8" w:rsidRPr="00DD71B8">
        <w:rPr>
          <w:rFonts w:ascii="Georgia" w:hAnsi="Georgia" w:cs="Arial"/>
          <w:sz w:val="24"/>
          <w:szCs w:val="24"/>
        </w:rPr>
        <w:t xml:space="preserve"> do conceito, nos anos de 1920-1930, ou seja, décadas antes de Foucault agregá-lo ao seu léxico conceitual, articulado ao poder disciplinar e ao controle das populações, veremos que o que se encontra em suas raízes mais remotas, são as concepções organicistas e vitalistas d</w:t>
      </w:r>
      <w:r w:rsidR="00DD71B8">
        <w:rPr>
          <w:rFonts w:ascii="Georgia" w:hAnsi="Georgia" w:cs="Arial"/>
          <w:sz w:val="24"/>
          <w:szCs w:val="24"/>
        </w:rPr>
        <w:t>e “Estado-corpo”, e de</w:t>
      </w:r>
      <w:r w:rsidR="00DD71B8" w:rsidRPr="00DD71B8">
        <w:rPr>
          <w:rFonts w:ascii="Georgia" w:hAnsi="Georgia" w:cs="Arial"/>
          <w:sz w:val="24"/>
          <w:szCs w:val="24"/>
        </w:rPr>
        <w:t xml:space="preserve"> “Corpo-Germânico”, ou seja, estávamos diante de um processo de “naturalização” da política, o mesmo que forjou as bases ideológicas d</w:t>
      </w:r>
      <w:r w:rsidR="0049579D">
        <w:rPr>
          <w:rFonts w:ascii="Georgia" w:hAnsi="Georgia" w:cs="Arial"/>
          <w:sz w:val="24"/>
          <w:szCs w:val="24"/>
        </w:rPr>
        <w:t>o racismo biológico como política de Estado, sobre o qual</w:t>
      </w:r>
      <w:r w:rsidR="00DD71B8" w:rsidRPr="00DD71B8">
        <w:rPr>
          <w:rFonts w:ascii="Georgia" w:hAnsi="Georgia" w:cs="Arial"/>
          <w:sz w:val="24"/>
          <w:szCs w:val="24"/>
        </w:rPr>
        <w:t xml:space="preserve"> se ergueu o Estado nazista. </w:t>
      </w:r>
    </w:p>
    <w:p w:rsidR="009C4A35" w:rsidRDefault="00DD71B8" w:rsidP="009C4A35">
      <w:pPr>
        <w:spacing w:line="360" w:lineRule="auto"/>
        <w:ind w:firstLine="708"/>
        <w:jc w:val="both"/>
        <w:rPr>
          <w:rFonts w:ascii="Georgia" w:hAnsi="Georgia" w:cs="Arial"/>
          <w:sz w:val="24"/>
          <w:szCs w:val="24"/>
        </w:rPr>
      </w:pPr>
      <w:r w:rsidRPr="00DD71B8">
        <w:rPr>
          <w:rFonts w:ascii="Georgia" w:hAnsi="Georgia" w:cs="Arial"/>
          <w:sz w:val="24"/>
          <w:szCs w:val="24"/>
        </w:rPr>
        <w:t xml:space="preserve">O conceito de </w:t>
      </w:r>
      <w:proofErr w:type="spellStart"/>
      <w:r w:rsidRPr="00DD71B8">
        <w:rPr>
          <w:rFonts w:ascii="Georgia" w:hAnsi="Georgia" w:cs="Arial"/>
          <w:sz w:val="24"/>
          <w:szCs w:val="24"/>
        </w:rPr>
        <w:t>biopolítica</w:t>
      </w:r>
      <w:proofErr w:type="spellEnd"/>
      <w:r w:rsidRPr="00DD71B8">
        <w:rPr>
          <w:rFonts w:ascii="Georgia" w:hAnsi="Georgia" w:cs="Arial"/>
          <w:sz w:val="24"/>
          <w:szCs w:val="24"/>
        </w:rPr>
        <w:t xml:space="preserve"> foi cunhado ao lado daquele de “geopolítica” </w:t>
      </w:r>
      <w:r w:rsidR="000923C0">
        <w:rPr>
          <w:rFonts w:ascii="Georgia" w:hAnsi="Georgia" w:cs="Arial"/>
          <w:sz w:val="24"/>
          <w:szCs w:val="24"/>
        </w:rPr>
        <w:t xml:space="preserve">pelo </w:t>
      </w:r>
      <w:r w:rsidR="000923C0">
        <w:rPr>
          <w:rFonts w:ascii="Georgia" w:hAnsi="Georgia"/>
          <w:sz w:val="24"/>
          <w:szCs w:val="24"/>
        </w:rPr>
        <w:t>cientista político</w:t>
      </w:r>
      <w:r w:rsidR="000923C0" w:rsidRPr="00103100">
        <w:rPr>
          <w:rFonts w:ascii="Georgia" w:hAnsi="Georgia"/>
          <w:sz w:val="24"/>
          <w:szCs w:val="24"/>
        </w:rPr>
        <w:t xml:space="preserve"> sueco </w:t>
      </w:r>
      <w:r w:rsidR="000923C0">
        <w:rPr>
          <w:rFonts w:ascii="Georgia" w:eastAsia="Times New Roman" w:hAnsi="Georgia" w:cs="Times New Roman"/>
          <w:sz w:val="24"/>
          <w:szCs w:val="24"/>
          <w:lang w:eastAsia="pt-BR"/>
        </w:rPr>
        <w:t xml:space="preserve">Rudolph </w:t>
      </w:r>
      <w:proofErr w:type="spellStart"/>
      <w:r w:rsidR="000923C0">
        <w:rPr>
          <w:rFonts w:ascii="Georgia" w:eastAsia="Times New Roman" w:hAnsi="Georgia" w:cs="Times New Roman"/>
          <w:sz w:val="24"/>
          <w:szCs w:val="24"/>
          <w:lang w:eastAsia="pt-BR"/>
        </w:rPr>
        <w:t>Kjellé</w:t>
      </w:r>
      <w:r w:rsidR="000923C0" w:rsidRPr="00103100">
        <w:rPr>
          <w:rFonts w:ascii="Georgia" w:eastAsia="Times New Roman" w:hAnsi="Georgia" w:cs="Times New Roman"/>
          <w:sz w:val="24"/>
          <w:szCs w:val="24"/>
          <w:lang w:eastAsia="pt-BR"/>
        </w:rPr>
        <w:t>n</w:t>
      </w:r>
      <w:proofErr w:type="spellEnd"/>
      <w:r w:rsidR="000923C0">
        <w:rPr>
          <w:rFonts w:ascii="Georgia" w:eastAsia="Times New Roman" w:hAnsi="Georgia" w:cs="Times New Roman"/>
          <w:sz w:val="24"/>
          <w:szCs w:val="24"/>
          <w:lang w:eastAsia="pt-BR"/>
        </w:rPr>
        <w:t xml:space="preserve">, </w:t>
      </w:r>
      <w:r w:rsidR="000923C0">
        <w:rPr>
          <w:rFonts w:ascii="Georgia" w:hAnsi="Georgia" w:cs="Arial"/>
          <w:sz w:val="24"/>
          <w:szCs w:val="24"/>
        </w:rPr>
        <w:t>cuja obra</w:t>
      </w:r>
      <w:r w:rsidRPr="00DD71B8">
        <w:rPr>
          <w:rFonts w:ascii="Georgia" w:hAnsi="Georgia" w:cs="Arial"/>
          <w:sz w:val="24"/>
          <w:szCs w:val="24"/>
        </w:rPr>
        <w:t xml:space="preserve"> </w:t>
      </w:r>
      <w:r w:rsidR="00840432">
        <w:rPr>
          <w:rFonts w:ascii="Georgia" w:hAnsi="Georgia" w:cs="Arial"/>
          <w:i/>
          <w:sz w:val="24"/>
          <w:szCs w:val="24"/>
        </w:rPr>
        <w:t>O Estado como forma de vida</w:t>
      </w:r>
      <w:r w:rsidR="00840432">
        <w:rPr>
          <w:rStyle w:val="FootnoteReference"/>
          <w:rFonts w:ascii="Georgia" w:hAnsi="Georgia" w:cs="Arial"/>
          <w:i/>
          <w:sz w:val="24"/>
          <w:szCs w:val="24"/>
        </w:rPr>
        <w:footnoteReference w:id="11"/>
      </w:r>
      <w:r w:rsidRPr="00DD71B8">
        <w:rPr>
          <w:rFonts w:ascii="Georgia" w:hAnsi="Georgia" w:cs="Arial"/>
          <w:sz w:val="24"/>
          <w:szCs w:val="24"/>
        </w:rPr>
        <w:t xml:space="preserve">, tornou-se uma referência por seu grande êxito na Alemanha, lançando </w:t>
      </w:r>
      <w:r w:rsidR="002C4FCB">
        <w:rPr>
          <w:rFonts w:ascii="Georgia" w:hAnsi="Georgia" w:cs="Arial"/>
          <w:sz w:val="24"/>
          <w:szCs w:val="24"/>
        </w:rPr>
        <w:t xml:space="preserve">as bases da geopolítica alemã, </w:t>
      </w:r>
      <w:r w:rsidRPr="00DD71B8">
        <w:rPr>
          <w:rFonts w:ascii="Georgia" w:hAnsi="Georgia" w:cs="Arial"/>
          <w:sz w:val="24"/>
          <w:szCs w:val="24"/>
        </w:rPr>
        <w:t xml:space="preserve"> influenciando toda uma geração de juristas e cientis</w:t>
      </w:r>
      <w:r w:rsidR="002C4FCB">
        <w:rPr>
          <w:rFonts w:ascii="Georgia" w:hAnsi="Georgia" w:cs="Arial"/>
          <w:sz w:val="24"/>
          <w:szCs w:val="24"/>
        </w:rPr>
        <w:t xml:space="preserve">tas políticos daquela geração, que </w:t>
      </w:r>
      <w:r w:rsidRPr="00DD71B8">
        <w:rPr>
          <w:rFonts w:ascii="Georgia" w:hAnsi="Georgia" w:cs="Arial"/>
          <w:sz w:val="24"/>
          <w:szCs w:val="24"/>
        </w:rPr>
        <w:t>defendiam uma conexão não apenas analó</w:t>
      </w:r>
      <w:r w:rsidR="002C4FCB">
        <w:rPr>
          <w:rFonts w:ascii="Georgia" w:hAnsi="Georgia" w:cs="Arial"/>
          <w:sz w:val="24"/>
          <w:szCs w:val="24"/>
        </w:rPr>
        <w:t>gica, mas concreta e material, entre a política e</w:t>
      </w:r>
      <w:r w:rsidRPr="00DD71B8">
        <w:rPr>
          <w:rFonts w:ascii="Georgia" w:hAnsi="Georgia" w:cs="Arial"/>
          <w:sz w:val="24"/>
          <w:szCs w:val="24"/>
        </w:rPr>
        <w:t xml:space="preserve"> a biologia. Era dever da </w:t>
      </w:r>
      <w:proofErr w:type="spellStart"/>
      <w:r w:rsidRPr="00DD71B8">
        <w:rPr>
          <w:rFonts w:ascii="Georgia" w:hAnsi="Georgia" w:cs="Arial"/>
          <w:sz w:val="24"/>
          <w:szCs w:val="24"/>
        </w:rPr>
        <w:t>biopolítica</w:t>
      </w:r>
      <w:proofErr w:type="spellEnd"/>
      <w:r w:rsidRPr="00DD71B8">
        <w:rPr>
          <w:rFonts w:ascii="Georgia" w:hAnsi="Georgia" w:cs="Arial"/>
          <w:sz w:val="24"/>
          <w:szCs w:val="24"/>
        </w:rPr>
        <w:t xml:space="preserve">, reconhecer os riscos orgânicos que ameaçavam a homogeneidade do </w:t>
      </w:r>
      <w:r w:rsidR="00C05FA4">
        <w:rPr>
          <w:rFonts w:ascii="Georgia" w:hAnsi="Georgia" w:cs="Arial"/>
          <w:sz w:val="24"/>
          <w:szCs w:val="24"/>
        </w:rPr>
        <w:lastRenderedPageBreak/>
        <w:t>corpo político germânico</w:t>
      </w:r>
      <w:r w:rsidRPr="00DD71B8">
        <w:rPr>
          <w:rFonts w:ascii="Georgia" w:hAnsi="Georgia" w:cs="Arial"/>
          <w:sz w:val="24"/>
          <w:szCs w:val="24"/>
        </w:rPr>
        <w:t>, e encontrar os mecanismos de defesa capazes de eliminá-los</w:t>
      </w:r>
      <w:r w:rsidR="002C4FCB">
        <w:rPr>
          <w:rStyle w:val="FootnoteReference"/>
          <w:rFonts w:ascii="Georgia" w:hAnsi="Georgia" w:cs="Arial"/>
          <w:sz w:val="24"/>
          <w:szCs w:val="24"/>
        </w:rPr>
        <w:footnoteReference w:id="12"/>
      </w:r>
      <w:r w:rsidRPr="00DD71B8">
        <w:rPr>
          <w:rFonts w:ascii="Georgia" w:hAnsi="Georgia" w:cs="Arial"/>
          <w:sz w:val="24"/>
          <w:szCs w:val="24"/>
        </w:rPr>
        <w:t xml:space="preserve">. </w:t>
      </w:r>
    </w:p>
    <w:p w:rsidR="009C4A35" w:rsidRDefault="000923C0" w:rsidP="009C4A35">
      <w:pPr>
        <w:spacing w:line="360" w:lineRule="auto"/>
        <w:ind w:firstLine="708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Mas q</w:t>
      </w:r>
      <w:r w:rsidR="006647B3">
        <w:rPr>
          <w:rFonts w:ascii="Georgia" w:hAnsi="Georgia" w:cs="Arial"/>
          <w:sz w:val="24"/>
          <w:szCs w:val="24"/>
        </w:rPr>
        <w:t>ual seria</w:t>
      </w:r>
      <w:r>
        <w:rPr>
          <w:rFonts w:ascii="Georgia" w:hAnsi="Georgia" w:cs="Arial"/>
          <w:sz w:val="24"/>
          <w:szCs w:val="24"/>
        </w:rPr>
        <w:t>, então,</w:t>
      </w:r>
      <w:r w:rsidR="006647B3">
        <w:rPr>
          <w:rFonts w:ascii="Georgia" w:hAnsi="Georgia" w:cs="Arial"/>
          <w:sz w:val="24"/>
          <w:szCs w:val="24"/>
        </w:rPr>
        <w:t xml:space="preserve"> o cerne da mutação sofrida pela </w:t>
      </w:r>
      <w:proofErr w:type="spellStart"/>
      <w:r w:rsidR="006647B3">
        <w:rPr>
          <w:rFonts w:ascii="Georgia" w:hAnsi="Georgia" w:cs="Arial"/>
          <w:sz w:val="24"/>
          <w:szCs w:val="24"/>
        </w:rPr>
        <w:t>biopolítica</w:t>
      </w:r>
      <w:proofErr w:type="spellEnd"/>
      <w:r w:rsidR="006647B3">
        <w:rPr>
          <w:rFonts w:ascii="Georgia" w:hAnsi="Georgia" w:cs="Arial"/>
          <w:sz w:val="24"/>
          <w:szCs w:val="24"/>
        </w:rPr>
        <w:t xml:space="preserve"> na atualidade?</w:t>
      </w:r>
      <w:r w:rsidR="0041237B">
        <w:rPr>
          <w:rFonts w:ascii="Georgia" w:hAnsi="Georgia" w:cs="Arial"/>
          <w:sz w:val="24"/>
          <w:szCs w:val="24"/>
        </w:rPr>
        <w:t xml:space="preserve"> </w:t>
      </w:r>
      <w:r w:rsidR="005B55DE">
        <w:rPr>
          <w:rFonts w:ascii="Georgia" w:hAnsi="Georgia" w:cs="Arial"/>
          <w:sz w:val="24"/>
          <w:szCs w:val="24"/>
        </w:rPr>
        <w:t>O rechaço</w:t>
      </w:r>
      <w:r w:rsidR="0041237B">
        <w:rPr>
          <w:rFonts w:ascii="Georgia" w:hAnsi="Georgia" w:cs="Arial"/>
          <w:sz w:val="24"/>
          <w:szCs w:val="24"/>
        </w:rPr>
        <w:t xml:space="preserve"> generalizado à ordem simbólica parece obter</w:t>
      </w:r>
      <w:r w:rsidR="005B55DE">
        <w:rPr>
          <w:rFonts w:ascii="Georgia" w:hAnsi="Georgia" w:cs="Arial"/>
          <w:sz w:val="24"/>
          <w:szCs w:val="24"/>
        </w:rPr>
        <w:t xml:space="preserve"> como desdobramentos, </w:t>
      </w:r>
      <w:r w:rsidR="0041237B">
        <w:rPr>
          <w:rFonts w:ascii="Georgia" w:hAnsi="Georgia" w:cs="Arial"/>
          <w:sz w:val="24"/>
          <w:szCs w:val="24"/>
        </w:rPr>
        <w:t>ao nível da civilização, de um lado,</w:t>
      </w:r>
      <w:r w:rsidR="005B55DE">
        <w:rPr>
          <w:rFonts w:ascii="Georgia" w:hAnsi="Georgia" w:cs="Arial"/>
          <w:sz w:val="24"/>
          <w:szCs w:val="24"/>
        </w:rPr>
        <w:t xml:space="preserve"> o retorno das religiões e da</w:t>
      </w:r>
      <w:r w:rsidR="0041237B">
        <w:rPr>
          <w:rFonts w:ascii="Georgia" w:hAnsi="Georgia" w:cs="Arial"/>
          <w:sz w:val="24"/>
          <w:szCs w:val="24"/>
        </w:rPr>
        <w:t>s ideologias totalitárias; e de</w:t>
      </w:r>
      <w:r w:rsidR="005B55DE">
        <w:rPr>
          <w:rFonts w:ascii="Georgia" w:hAnsi="Georgia" w:cs="Arial"/>
          <w:sz w:val="24"/>
          <w:szCs w:val="24"/>
        </w:rPr>
        <w:t xml:space="preserve"> outro, a ascensão vertiginosa do consumo</w:t>
      </w:r>
      <w:r w:rsidR="0041237B">
        <w:rPr>
          <w:rFonts w:ascii="Georgia" w:hAnsi="Georgia" w:cs="Arial"/>
          <w:sz w:val="24"/>
          <w:szCs w:val="24"/>
        </w:rPr>
        <w:t xml:space="preserve"> em escala planetária,</w:t>
      </w:r>
      <w:r w:rsidR="005B55DE">
        <w:rPr>
          <w:rFonts w:ascii="Georgia" w:hAnsi="Georgia" w:cs="Arial"/>
          <w:sz w:val="24"/>
          <w:szCs w:val="24"/>
        </w:rPr>
        <w:t xml:space="preserve"> como novo imperativo, e a homogeneização que este fenômen</w:t>
      </w:r>
      <w:r w:rsidR="00137F86">
        <w:rPr>
          <w:rFonts w:ascii="Georgia" w:hAnsi="Georgia" w:cs="Arial"/>
          <w:sz w:val="24"/>
          <w:szCs w:val="24"/>
        </w:rPr>
        <w:t>o globalmente produz, colocando</w:t>
      </w:r>
      <w:r w:rsidR="005B55DE">
        <w:rPr>
          <w:rFonts w:ascii="Georgia" w:hAnsi="Georgia" w:cs="Arial"/>
          <w:sz w:val="24"/>
          <w:szCs w:val="24"/>
        </w:rPr>
        <w:t xml:space="preserve"> de uma maneira nova, </w:t>
      </w:r>
      <w:r w:rsidR="009C4A35">
        <w:rPr>
          <w:rFonts w:ascii="Georgia" w:hAnsi="Georgia" w:cs="Arial"/>
          <w:sz w:val="24"/>
          <w:szCs w:val="24"/>
        </w:rPr>
        <w:t xml:space="preserve">e </w:t>
      </w:r>
      <w:r w:rsidR="005B55DE">
        <w:rPr>
          <w:rFonts w:ascii="Georgia" w:hAnsi="Georgia" w:cs="Arial"/>
          <w:sz w:val="24"/>
          <w:szCs w:val="24"/>
        </w:rPr>
        <w:t xml:space="preserve">mais uma vez, o organismo como ponto final </w:t>
      </w:r>
      <w:r w:rsidR="005B55DE" w:rsidRPr="009C4A35">
        <w:rPr>
          <w:rFonts w:ascii="Georgia" w:hAnsi="Georgia" w:cs="Arial"/>
          <w:sz w:val="24"/>
          <w:szCs w:val="24"/>
        </w:rPr>
        <w:t>dos processos de institucionalização da vida</w:t>
      </w:r>
      <w:r w:rsidR="0041237B">
        <w:rPr>
          <w:rFonts w:ascii="Georgia" w:hAnsi="Georgia" w:cs="Arial"/>
          <w:sz w:val="24"/>
          <w:szCs w:val="24"/>
        </w:rPr>
        <w:t xml:space="preserve"> em comum</w:t>
      </w:r>
      <w:r w:rsidR="005A3A1F">
        <w:rPr>
          <w:rFonts w:ascii="Georgia" w:hAnsi="Georgia" w:cs="Arial"/>
          <w:sz w:val="24"/>
          <w:szCs w:val="24"/>
        </w:rPr>
        <w:t xml:space="preserve">. </w:t>
      </w:r>
    </w:p>
    <w:p w:rsidR="000F4483" w:rsidRDefault="0041237B" w:rsidP="009C4A35">
      <w:pPr>
        <w:spacing w:line="360" w:lineRule="auto"/>
        <w:ind w:firstLine="708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Aqui também há uma cifra, o chamado “refugo humano”</w:t>
      </w:r>
      <w:r w:rsidR="00137F86">
        <w:rPr>
          <w:rStyle w:val="FootnoteReference"/>
          <w:rFonts w:ascii="Georgia" w:hAnsi="Georgia" w:cs="Arial"/>
          <w:sz w:val="24"/>
          <w:szCs w:val="24"/>
        </w:rPr>
        <w:footnoteReference w:id="13"/>
      </w:r>
      <w:r>
        <w:rPr>
          <w:rFonts w:ascii="Georgia" w:hAnsi="Georgia" w:cs="Arial"/>
          <w:sz w:val="24"/>
          <w:szCs w:val="24"/>
        </w:rPr>
        <w:t>,</w:t>
      </w:r>
      <w:r w:rsidR="00E34DFD">
        <w:rPr>
          <w:rFonts w:ascii="Georgia" w:hAnsi="Georgia" w:cs="Arial"/>
          <w:sz w:val="24"/>
          <w:szCs w:val="24"/>
        </w:rPr>
        <w:t xml:space="preserve"> que se multiplica em escala diretamente proporcional à expansão global das sociedades de massas consumidoras, instalando uma crise aguda e permanente n</w:t>
      </w:r>
      <w:r>
        <w:rPr>
          <w:rFonts w:ascii="Georgia" w:hAnsi="Georgia" w:cs="Arial"/>
          <w:sz w:val="24"/>
          <w:szCs w:val="24"/>
        </w:rPr>
        <w:t>a indústria</w:t>
      </w:r>
      <w:r w:rsidR="00E34DFD">
        <w:rPr>
          <w:rFonts w:ascii="Georgia" w:hAnsi="Georgia" w:cs="Arial"/>
          <w:sz w:val="24"/>
          <w:szCs w:val="24"/>
        </w:rPr>
        <w:t xml:space="preserve"> que se ocupa de</w:t>
      </w:r>
      <w:r>
        <w:rPr>
          <w:rFonts w:ascii="Georgia" w:hAnsi="Georgia" w:cs="Arial"/>
          <w:sz w:val="24"/>
          <w:szCs w:val="24"/>
        </w:rPr>
        <w:t xml:space="preserve"> sua</w:t>
      </w:r>
      <w:r w:rsidR="00E34DFD">
        <w:rPr>
          <w:rFonts w:ascii="Georgia" w:hAnsi="Georgia" w:cs="Arial"/>
          <w:sz w:val="24"/>
          <w:szCs w:val="24"/>
        </w:rPr>
        <w:t xml:space="preserve"> “reciclagem” ou de sua</w:t>
      </w:r>
      <w:r>
        <w:rPr>
          <w:rFonts w:ascii="Georgia" w:hAnsi="Georgia" w:cs="Arial"/>
          <w:sz w:val="24"/>
          <w:szCs w:val="24"/>
        </w:rPr>
        <w:t xml:space="preserve"> </w:t>
      </w:r>
      <w:r w:rsidR="00E34DFD">
        <w:rPr>
          <w:rFonts w:ascii="Georgia" w:hAnsi="Georgia" w:cs="Arial"/>
          <w:sz w:val="24"/>
          <w:szCs w:val="24"/>
        </w:rPr>
        <w:t>“</w:t>
      </w:r>
      <w:r>
        <w:rPr>
          <w:rFonts w:ascii="Georgia" w:hAnsi="Georgia" w:cs="Arial"/>
          <w:sz w:val="24"/>
          <w:szCs w:val="24"/>
        </w:rPr>
        <w:t>remoção</w:t>
      </w:r>
      <w:r w:rsidR="00E34DFD">
        <w:rPr>
          <w:rFonts w:ascii="Georgia" w:hAnsi="Georgia" w:cs="Arial"/>
          <w:sz w:val="24"/>
          <w:szCs w:val="24"/>
        </w:rPr>
        <w:t>”: a centralidade do problema da intolerância étnico-racial, religiosa, política, cultural, e</w:t>
      </w:r>
      <w:r w:rsidR="002559D6">
        <w:rPr>
          <w:rFonts w:ascii="Georgia" w:hAnsi="Georgia" w:cs="Arial"/>
          <w:sz w:val="24"/>
          <w:szCs w:val="24"/>
        </w:rPr>
        <w:t xml:space="preserve"> a</w:t>
      </w:r>
      <w:r w:rsidR="00E34DFD">
        <w:rPr>
          <w:rFonts w:ascii="Georgia" w:hAnsi="Georgia" w:cs="Arial"/>
          <w:sz w:val="24"/>
          <w:szCs w:val="24"/>
        </w:rPr>
        <w:t xml:space="preserve"> discriminação aos imigrantes, </w:t>
      </w:r>
      <w:r w:rsidR="002559D6">
        <w:rPr>
          <w:rFonts w:ascii="Georgia" w:hAnsi="Georgia" w:cs="Arial"/>
          <w:sz w:val="24"/>
          <w:szCs w:val="24"/>
        </w:rPr>
        <w:t xml:space="preserve">refugiados e asilados; o papel crescente ocupado pelos vagos e difusos temores relacionados à segurança, e o concomitante incremento da “indústria da segurança”, e consequente policiamento da vida doméstica, por meio de medidas de segurança pautadas em políticas segregacionistas, para que a saúde da sociedade e seu “funcionamento normal” não sejam ameaçados. </w:t>
      </w:r>
    </w:p>
    <w:p w:rsidR="0041237B" w:rsidRPr="002559D6" w:rsidRDefault="002559D6" w:rsidP="009C4A35">
      <w:pPr>
        <w:spacing w:line="360" w:lineRule="auto"/>
        <w:ind w:firstLine="708"/>
        <w:jc w:val="both"/>
        <w:rPr>
          <w:rFonts w:ascii="Georgia" w:hAnsi="Georgia" w:cs="Arial"/>
          <w:i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Tomando como paradigma o contexto brasileiro, o sistema penal</w:t>
      </w:r>
      <w:r w:rsidR="000F4483">
        <w:rPr>
          <w:rFonts w:ascii="Georgia" w:hAnsi="Georgia" w:cs="Arial"/>
          <w:sz w:val="24"/>
          <w:szCs w:val="24"/>
        </w:rPr>
        <w:t xml:space="preserve"> nos dá um exemplo paradigmático: seguindo a diretriz da construção de novos dispositivos de encarceramento e de punição com a perda da liberdade, está o projeto de lei </w:t>
      </w:r>
      <w:r w:rsidR="006C3883">
        <w:rPr>
          <w:rFonts w:ascii="Georgia" w:hAnsi="Georgia" w:cs="Arial"/>
          <w:sz w:val="24"/>
          <w:szCs w:val="24"/>
        </w:rPr>
        <w:t xml:space="preserve">em discussão no Congresso Brasileiro, </w:t>
      </w:r>
      <w:r w:rsidR="000F4483">
        <w:rPr>
          <w:rFonts w:ascii="Georgia" w:hAnsi="Georgia" w:cs="Arial"/>
          <w:sz w:val="24"/>
          <w:szCs w:val="24"/>
        </w:rPr>
        <w:t>que defende a redução da maioridade penal dos 18</w:t>
      </w:r>
      <w:r w:rsidR="004221CA">
        <w:rPr>
          <w:rFonts w:ascii="Georgia" w:hAnsi="Georgia" w:cs="Arial"/>
          <w:sz w:val="24"/>
          <w:szCs w:val="24"/>
        </w:rPr>
        <w:t>,</w:t>
      </w:r>
      <w:r w:rsidR="000F4483">
        <w:rPr>
          <w:rFonts w:ascii="Georgia" w:hAnsi="Georgia" w:cs="Arial"/>
          <w:sz w:val="24"/>
          <w:szCs w:val="24"/>
        </w:rPr>
        <w:t xml:space="preserve"> para os 16 anos. </w:t>
      </w:r>
      <w:r w:rsidR="00137F86">
        <w:rPr>
          <w:rFonts w:ascii="Georgia" w:hAnsi="Georgia" w:cs="Arial"/>
          <w:sz w:val="24"/>
          <w:szCs w:val="24"/>
        </w:rPr>
        <w:t>Medida</w:t>
      </w:r>
      <w:r w:rsidR="00576636">
        <w:rPr>
          <w:rFonts w:ascii="Georgia" w:hAnsi="Georgia" w:cs="Arial"/>
          <w:sz w:val="24"/>
          <w:szCs w:val="24"/>
        </w:rPr>
        <w:t xml:space="preserve"> que, tal como argumenta</w:t>
      </w:r>
      <w:r w:rsidR="0047611F">
        <w:rPr>
          <w:rFonts w:ascii="Georgia" w:hAnsi="Georgia" w:cs="Arial"/>
          <w:sz w:val="24"/>
          <w:szCs w:val="24"/>
        </w:rPr>
        <w:t xml:space="preserve"> o antropó</w:t>
      </w:r>
      <w:r w:rsidR="004221CA">
        <w:rPr>
          <w:rFonts w:ascii="Georgia" w:hAnsi="Georgia" w:cs="Arial"/>
          <w:sz w:val="24"/>
          <w:szCs w:val="24"/>
        </w:rPr>
        <w:t xml:space="preserve">logo e </w:t>
      </w:r>
      <w:r w:rsidR="0047611F">
        <w:rPr>
          <w:rFonts w:ascii="Georgia" w:hAnsi="Georgia" w:cs="Arial"/>
          <w:sz w:val="24"/>
          <w:szCs w:val="24"/>
        </w:rPr>
        <w:t xml:space="preserve">cientista político </w:t>
      </w:r>
      <w:r w:rsidR="00576636">
        <w:rPr>
          <w:rFonts w:ascii="Georgia" w:hAnsi="Georgia" w:cs="Arial"/>
          <w:sz w:val="24"/>
          <w:szCs w:val="24"/>
        </w:rPr>
        <w:t>Luiz Eduardo Soares</w:t>
      </w:r>
      <w:r w:rsidR="00576636">
        <w:rPr>
          <w:rStyle w:val="FootnoteReference"/>
          <w:rFonts w:ascii="Georgia" w:hAnsi="Georgia" w:cs="Arial"/>
          <w:sz w:val="24"/>
          <w:szCs w:val="24"/>
        </w:rPr>
        <w:footnoteReference w:id="14"/>
      </w:r>
      <w:r w:rsidR="004221CA">
        <w:rPr>
          <w:rFonts w:ascii="Georgia" w:hAnsi="Georgia" w:cs="Arial"/>
          <w:sz w:val="24"/>
          <w:szCs w:val="24"/>
        </w:rPr>
        <w:t>, soa</w:t>
      </w:r>
      <w:r w:rsidR="00137F86">
        <w:rPr>
          <w:rFonts w:ascii="Georgia" w:hAnsi="Georgia" w:cs="Arial"/>
          <w:sz w:val="24"/>
          <w:szCs w:val="24"/>
        </w:rPr>
        <w:t xml:space="preserve"> absurda </w:t>
      </w:r>
      <w:r w:rsidR="00576636">
        <w:rPr>
          <w:rFonts w:ascii="Georgia" w:hAnsi="Georgia" w:cs="Arial"/>
          <w:sz w:val="24"/>
          <w:szCs w:val="24"/>
        </w:rPr>
        <w:t xml:space="preserve">aos olhos de qualquer cidadão minimamente </w:t>
      </w:r>
      <w:r w:rsidR="0047611F">
        <w:rPr>
          <w:rFonts w:ascii="Georgia" w:hAnsi="Georgia" w:cs="Arial"/>
          <w:sz w:val="24"/>
          <w:szCs w:val="24"/>
        </w:rPr>
        <w:t xml:space="preserve">sensato, independentemente de sua orientação política: </w:t>
      </w:r>
      <w:r w:rsidR="004221CA">
        <w:rPr>
          <w:rFonts w:ascii="Georgia" w:hAnsi="Georgia" w:cs="Arial"/>
          <w:sz w:val="24"/>
          <w:szCs w:val="24"/>
        </w:rPr>
        <w:t>Q</w:t>
      </w:r>
      <w:r w:rsidR="0047611F">
        <w:rPr>
          <w:rFonts w:ascii="Georgia" w:hAnsi="Georgia" w:cs="Arial"/>
          <w:sz w:val="24"/>
          <w:szCs w:val="24"/>
        </w:rPr>
        <w:t>ue sentido haveria em defender a ampliação das responsabilidades de um sistema falido?</w:t>
      </w:r>
      <w:r w:rsidR="004221CA">
        <w:rPr>
          <w:rFonts w:ascii="Georgia" w:hAnsi="Georgia" w:cs="Arial"/>
          <w:sz w:val="24"/>
          <w:szCs w:val="24"/>
        </w:rPr>
        <w:t xml:space="preserve"> Que sentido haveria em propor a extensão do espectro de </w:t>
      </w:r>
      <w:r w:rsidR="004221CA">
        <w:rPr>
          <w:rFonts w:ascii="Georgia" w:hAnsi="Georgia" w:cs="Arial"/>
          <w:sz w:val="24"/>
          <w:szCs w:val="24"/>
        </w:rPr>
        <w:lastRenderedPageBreak/>
        <w:t xml:space="preserve">abrangência de um modelo que sabidamente não funciona e produz o inverso do que lhe cumpriria? Como uma instituição reconhecida como degradada, perversa, violenta, torpe e brutal, além de contra produtiva, poderá ser encarregada de assumir atribuições ainda mais exigentes e complexas? Vamos propor o que não funciona para os adultos, com os adolescentes? Como isso pode passar pela cabeça de uma pessoa que se supõe racional? E aqui estamos, pois parece que propor algo que faça algum sentido, ou </w:t>
      </w:r>
      <w:r w:rsidR="00137F86">
        <w:rPr>
          <w:rFonts w:ascii="Georgia" w:hAnsi="Georgia" w:cs="Arial"/>
          <w:sz w:val="24"/>
          <w:szCs w:val="24"/>
        </w:rPr>
        <w:t xml:space="preserve">que </w:t>
      </w:r>
      <w:r w:rsidR="004221CA">
        <w:rPr>
          <w:rFonts w:ascii="Georgia" w:hAnsi="Georgia" w:cs="Arial"/>
          <w:sz w:val="24"/>
          <w:szCs w:val="24"/>
        </w:rPr>
        <w:t>seja minimamente dotado de alguma racionalidade, não parece dar o tom à política</w:t>
      </w:r>
      <w:r w:rsidR="00137F86">
        <w:rPr>
          <w:rFonts w:ascii="Georgia" w:hAnsi="Georgia" w:cs="Arial"/>
          <w:sz w:val="24"/>
          <w:szCs w:val="24"/>
        </w:rPr>
        <w:t>, regida pela indústria da remoção do refugo, neste caso, do “refugo humano”.</w:t>
      </w:r>
    </w:p>
    <w:p w:rsidR="00FA577E" w:rsidRDefault="005B55DE" w:rsidP="00FA577E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9C4A35">
        <w:rPr>
          <w:rFonts w:ascii="Georgia" w:hAnsi="Georgia" w:cs="Arial"/>
          <w:sz w:val="24"/>
          <w:szCs w:val="24"/>
        </w:rPr>
        <w:t xml:space="preserve">Para o filósofo Newton </w:t>
      </w:r>
      <w:proofErr w:type="spellStart"/>
      <w:r w:rsidRPr="009C4A35">
        <w:rPr>
          <w:rFonts w:ascii="Georgia" w:hAnsi="Georgia" w:cs="Arial"/>
          <w:sz w:val="24"/>
          <w:szCs w:val="24"/>
        </w:rPr>
        <w:t>Bignotto</w:t>
      </w:r>
      <w:proofErr w:type="spellEnd"/>
      <w:r w:rsidR="009C4A35">
        <w:rPr>
          <w:rStyle w:val="FootnoteReference"/>
          <w:rFonts w:ascii="Georgia" w:hAnsi="Georgia" w:cs="Arial"/>
          <w:sz w:val="24"/>
          <w:szCs w:val="24"/>
        </w:rPr>
        <w:footnoteReference w:id="15"/>
      </w:r>
      <w:r w:rsidR="00F8702E">
        <w:rPr>
          <w:rFonts w:ascii="Georgia" w:hAnsi="Georgia" w:cs="Arial"/>
          <w:sz w:val="24"/>
          <w:szCs w:val="24"/>
        </w:rPr>
        <w:t xml:space="preserve">, o consumo como </w:t>
      </w:r>
      <w:r w:rsidR="00137F86">
        <w:rPr>
          <w:rFonts w:ascii="Georgia" w:hAnsi="Georgia" w:cs="Arial"/>
          <w:sz w:val="24"/>
          <w:szCs w:val="24"/>
        </w:rPr>
        <w:t>traço homogeneizador da cultura</w:t>
      </w:r>
      <w:r w:rsidR="009C4A35" w:rsidRPr="009C4A35">
        <w:rPr>
          <w:rFonts w:ascii="Georgia" w:hAnsi="Georgia"/>
          <w:sz w:val="24"/>
          <w:szCs w:val="24"/>
        </w:rPr>
        <w:t xml:space="preserve"> vem se constituindo</w:t>
      </w:r>
      <w:r w:rsidR="009C4A35">
        <w:rPr>
          <w:rFonts w:ascii="Georgia" w:hAnsi="Georgia"/>
          <w:sz w:val="24"/>
          <w:szCs w:val="24"/>
        </w:rPr>
        <w:t xml:space="preserve"> neste s</w:t>
      </w:r>
      <w:r w:rsidR="00F8702E">
        <w:rPr>
          <w:rFonts w:ascii="Georgia" w:hAnsi="Georgia"/>
          <w:sz w:val="24"/>
          <w:szCs w:val="24"/>
        </w:rPr>
        <w:t>éculo</w:t>
      </w:r>
      <w:r w:rsidR="009C4A35" w:rsidRPr="009C4A35">
        <w:rPr>
          <w:rFonts w:ascii="Georgia" w:hAnsi="Georgia"/>
          <w:sz w:val="24"/>
          <w:szCs w:val="24"/>
        </w:rPr>
        <w:t xml:space="preserve"> como uma nova expressão da </w:t>
      </w:r>
      <w:proofErr w:type="spellStart"/>
      <w:r w:rsidR="009C4A35" w:rsidRPr="009C4A35">
        <w:rPr>
          <w:rFonts w:ascii="Georgia" w:hAnsi="Georgia"/>
          <w:sz w:val="24"/>
          <w:szCs w:val="24"/>
        </w:rPr>
        <w:t>biopolítica</w:t>
      </w:r>
      <w:proofErr w:type="spellEnd"/>
      <w:r w:rsidR="009C4A35">
        <w:rPr>
          <w:rFonts w:ascii="Georgia" w:hAnsi="Georgia"/>
          <w:sz w:val="24"/>
          <w:szCs w:val="24"/>
        </w:rPr>
        <w:t>.</w:t>
      </w:r>
      <w:r w:rsidR="00691540">
        <w:rPr>
          <w:rFonts w:ascii="Georgia" w:hAnsi="Georgia"/>
          <w:sz w:val="24"/>
          <w:szCs w:val="24"/>
        </w:rPr>
        <w:t xml:space="preserve"> </w:t>
      </w:r>
      <w:r w:rsidR="009C4A35">
        <w:rPr>
          <w:rFonts w:ascii="Georgia" w:hAnsi="Georgia"/>
          <w:sz w:val="24"/>
          <w:szCs w:val="24"/>
        </w:rPr>
        <w:t>Como consequ</w:t>
      </w:r>
      <w:r w:rsidR="0064696A">
        <w:rPr>
          <w:rFonts w:ascii="Georgia" w:hAnsi="Georgia"/>
          <w:sz w:val="24"/>
          <w:szCs w:val="24"/>
        </w:rPr>
        <w:t>ência</w:t>
      </w:r>
      <w:r w:rsidR="009C4A35">
        <w:rPr>
          <w:rFonts w:ascii="Georgia" w:hAnsi="Georgia"/>
          <w:sz w:val="24"/>
          <w:szCs w:val="24"/>
        </w:rPr>
        <w:t xml:space="preserve">, constata-se um incremento da intolerância e </w:t>
      </w:r>
      <w:r w:rsidR="0064696A">
        <w:rPr>
          <w:rFonts w:ascii="Georgia" w:hAnsi="Georgia"/>
          <w:sz w:val="24"/>
          <w:szCs w:val="24"/>
        </w:rPr>
        <w:t>da</w:t>
      </w:r>
      <w:r w:rsidR="009C4A35">
        <w:rPr>
          <w:rFonts w:ascii="Georgia" w:hAnsi="Georgia"/>
          <w:sz w:val="24"/>
          <w:szCs w:val="24"/>
        </w:rPr>
        <w:t xml:space="preserve"> segregação</w:t>
      </w:r>
      <w:r w:rsidR="00886576">
        <w:rPr>
          <w:rFonts w:ascii="Georgia" w:hAnsi="Georgia"/>
          <w:sz w:val="24"/>
          <w:szCs w:val="24"/>
        </w:rPr>
        <w:t>, que costuma</w:t>
      </w:r>
      <w:r w:rsidR="00137F86">
        <w:rPr>
          <w:rFonts w:ascii="Georgia" w:hAnsi="Georgia"/>
          <w:sz w:val="24"/>
          <w:szCs w:val="24"/>
        </w:rPr>
        <w:t xml:space="preserve"> fazer-se valer</w:t>
      </w:r>
      <w:r w:rsidR="00691540">
        <w:rPr>
          <w:rFonts w:ascii="Georgia" w:hAnsi="Georgia"/>
          <w:sz w:val="24"/>
          <w:szCs w:val="24"/>
        </w:rPr>
        <w:t>, nas atuais sociedades de massas consumidoras, como rejeição</w:t>
      </w:r>
      <w:r w:rsidR="0064696A">
        <w:rPr>
          <w:rFonts w:ascii="Georgia" w:hAnsi="Georgia"/>
          <w:sz w:val="24"/>
          <w:szCs w:val="24"/>
        </w:rPr>
        <w:t xml:space="preserve"> à</w:t>
      </w:r>
      <w:r w:rsidR="009C4A35">
        <w:rPr>
          <w:rFonts w:ascii="Georgia" w:hAnsi="Georgia"/>
          <w:sz w:val="24"/>
          <w:szCs w:val="24"/>
        </w:rPr>
        <w:t xml:space="preserve"> div</w:t>
      </w:r>
      <w:r w:rsidR="0064696A">
        <w:rPr>
          <w:rFonts w:ascii="Georgia" w:hAnsi="Georgia"/>
          <w:sz w:val="24"/>
          <w:szCs w:val="24"/>
        </w:rPr>
        <w:t>ersidade e recusa da alteridade</w:t>
      </w:r>
      <w:r w:rsidR="009C4A35">
        <w:rPr>
          <w:rFonts w:ascii="Georgia" w:hAnsi="Georgia"/>
          <w:sz w:val="24"/>
          <w:szCs w:val="24"/>
        </w:rPr>
        <w:t xml:space="preserve"> nas suas mais variadas formas de expressão.</w:t>
      </w:r>
      <w:r w:rsidR="00FA577E">
        <w:rPr>
          <w:rFonts w:ascii="Georgia" w:hAnsi="Georgia"/>
          <w:sz w:val="24"/>
          <w:szCs w:val="24"/>
        </w:rPr>
        <w:t xml:space="preserve"> </w:t>
      </w:r>
      <w:r w:rsidR="0064696A">
        <w:rPr>
          <w:rFonts w:ascii="Georgia" w:hAnsi="Georgia"/>
          <w:sz w:val="24"/>
          <w:szCs w:val="24"/>
        </w:rPr>
        <w:t>No mundo regido pelo consumo, as trocas já não se fundam no registro simbólico, são regidas pela</w:t>
      </w:r>
      <w:r w:rsidR="00137F86">
        <w:rPr>
          <w:rFonts w:ascii="Georgia" w:hAnsi="Georgia"/>
          <w:sz w:val="24"/>
          <w:szCs w:val="24"/>
        </w:rPr>
        <w:t xml:space="preserve"> uniformidade da</w:t>
      </w:r>
      <w:r w:rsidR="0064696A">
        <w:rPr>
          <w:rFonts w:ascii="Georgia" w:hAnsi="Georgia"/>
          <w:sz w:val="24"/>
          <w:szCs w:val="24"/>
        </w:rPr>
        <w:t xml:space="preserve"> satisfação dos imperativos de gozo do momento. </w:t>
      </w:r>
    </w:p>
    <w:p w:rsidR="00D907F0" w:rsidRDefault="009C4A35" w:rsidP="00886576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 w:rsidRPr="00FA577E">
        <w:rPr>
          <w:rFonts w:ascii="Georgia" w:hAnsi="Georgia"/>
          <w:sz w:val="24"/>
          <w:szCs w:val="24"/>
        </w:rPr>
        <w:t>Conforme argumenta Jacques-Alain Miller, em</w:t>
      </w:r>
      <w:r w:rsidR="00691540" w:rsidRPr="00FA577E">
        <w:rPr>
          <w:rFonts w:ascii="Georgia" w:hAnsi="Georgia"/>
          <w:sz w:val="24"/>
          <w:szCs w:val="24"/>
        </w:rPr>
        <w:t xml:space="preserve"> </w:t>
      </w:r>
      <w:r w:rsidR="00FA577E">
        <w:rPr>
          <w:rFonts w:ascii="Georgia" w:hAnsi="Georgia"/>
          <w:b/>
          <w:sz w:val="24"/>
          <w:szCs w:val="24"/>
        </w:rPr>
        <w:t>“</w:t>
      </w:r>
      <w:proofErr w:type="spellStart"/>
      <w:r w:rsidR="00FA577E" w:rsidRPr="00FA577E">
        <w:rPr>
          <w:rFonts w:ascii="Georgia" w:hAnsi="Georgia"/>
          <w:color w:val="000000"/>
          <w:sz w:val="24"/>
          <w:szCs w:val="24"/>
        </w:rPr>
        <w:t>Réponse</w:t>
      </w:r>
      <w:proofErr w:type="spellEnd"/>
      <w:r w:rsidR="00FA577E" w:rsidRPr="00FA577E">
        <w:rPr>
          <w:rFonts w:ascii="Georgia" w:hAnsi="Georgia"/>
          <w:color w:val="000000"/>
          <w:sz w:val="24"/>
          <w:szCs w:val="24"/>
        </w:rPr>
        <w:t xml:space="preserve"> à </w:t>
      </w:r>
      <w:proofErr w:type="spellStart"/>
      <w:r w:rsidR="00FA577E" w:rsidRPr="00FA577E">
        <w:rPr>
          <w:rFonts w:ascii="Georgia" w:hAnsi="Georgia"/>
          <w:color w:val="000000"/>
          <w:sz w:val="24"/>
          <w:szCs w:val="24"/>
        </w:rPr>
        <w:t>Rancière</w:t>
      </w:r>
      <w:proofErr w:type="spellEnd"/>
      <w:r w:rsidR="00FA577E" w:rsidRPr="00137F86">
        <w:rPr>
          <w:rFonts w:ascii="Georgia" w:hAnsi="Georgia"/>
          <w:color w:val="000000"/>
          <w:sz w:val="24"/>
          <w:szCs w:val="24"/>
        </w:rPr>
        <w:t>”</w:t>
      </w:r>
      <w:r w:rsidR="00F8702E" w:rsidRPr="00137F86">
        <w:rPr>
          <w:rStyle w:val="FootnoteReference"/>
          <w:rFonts w:ascii="Georgia" w:hAnsi="Georgia"/>
          <w:color w:val="000000"/>
          <w:sz w:val="24"/>
          <w:szCs w:val="24"/>
        </w:rPr>
        <w:footnoteReference w:id="16"/>
      </w:r>
      <w:r w:rsidR="00FA577E" w:rsidRPr="00137F86">
        <w:rPr>
          <w:rFonts w:ascii="Georgia" w:hAnsi="Georgia"/>
          <w:color w:val="000000"/>
          <w:sz w:val="24"/>
          <w:szCs w:val="24"/>
        </w:rPr>
        <w:t>,</w:t>
      </w:r>
      <w:r w:rsidRPr="00137F86">
        <w:rPr>
          <w:rFonts w:ascii="Georgia" w:hAnsi="Georgia"/>
          <w:sz w:val="24"/>
          <w:szCs w:val="24"/>
        </w:rPr>
        <w:t xml:space="preserve"> </w:t>
      </w:r>
      <w:r w:rsidR="00FA577E" w:rsidRPr="00FA577E">
        <w:rPr>
          <w:rFonts w:ascii="Georgia" w:hAnsi="Georgia"/>
          <w:sz w:val="24"/>
          <w:szCs w:val="24"/>
        </w:rPr>
        <w:t>na</w:t>
      </w:r>
      <w:r w:rsidR="00F8702E">
        <w:rPr>
          <w:rFonts w:ascii="Georgia" w:hAnsi="Georgia"/>
          <w:sz w:val="24"/>
          <w:szCs w:val="24"/>
        </w:rPr>
        <w:t xml:space="preserve"> </w:t>
      </w:r>
      <w:r w:rsidR="00477AD2">
        <w:rPr>
          <w:rFonts w:ascii="Georgia" w:hAnsi="Georgia"/>
          <w:sz w:val="24"/>
          <w:szCs w:val="24"/>
        </w:rPr>
        <w:t xml:space="preserve">contra </w:t>
      </w:r>
      <w:r w:rsidR="00886576">
        <w:rPr>
          <w:rFonts w:ascii="Georgia" w:hAnsi="Georgia"/>
          <w:sz w:val="24"/>
          <w:szCs w:val="24"/>
        </w:rPr>
        <w:t>mão da</w:t>
      </w:r>
      <w:r w:rsidR="00FA577E" w:rsidRPr="00FA577E">
        <w:rPr>
          <w:rFonts w:ascii="Georgia" w:hAnsi="Georgia"/>
          <w:sz w:val="24"/>
          <w:szCs w:val="24"/>
        </w:rPr>
        <w:t xml:space="preserve"> derrocada dos universalismos</w:t>
      </w:r>
      <w:r w:rsidR="00886576">
        <w:rPr>
          <w:rFonts w:ascii="Georgia" w:hAnsi="Georgia"/>
          <w:sz w:val="24"/>
          <w:szCs w:val="24"/>
        </w:rPr>
        <w:t xml:space="preserve"> judaico, cristão e comunista, assistimos a franca hegemonia dos universalismos capitalista e mulçumano, e seu irrevogável desdobramento: </w:t>
      </w:r>
      <w:r w:rsidR="00D907F0">
        <w:rPr>
          <w:rFonts w:ascii="Georgia" w:hAnsi="Georgia"/>
          <w:sz w:val="24"/>
          <w:szCs w:val="24"/>
        </w:rPr>
        <w:t>a</w:t>
      </w:r>
      <w:r w:rsidR="00137F86">
        <w:rPr>
          <w:rFonts w:ascii="Georgia" w:hAnsi="Georgia"/>
          <w:sz w:val="24"/>
          <w:szCs w:val="24"/>
        </w:rPr>
        <w:t xml:space="preserve"> transmutação do</w:t>
      </w:r>
      <w:r w:rsidR="00D907F0">
        <w:rPr>
          <w:rFonts w:ascii="Georgia" w:hAnsi="Georgia"/>
          <w:sz w:val="24"/>
          <w:szCs w:val="24"/>
        </w:rPr>
        <w:t xml:space="preserve"> universalismo</w:t>
      </w:r>
      <w:r w:rsidR="00137F86">
        <w:rPr>
          <w:rFonts w:ascii="Georgia" w:hAnsi="Georgia"/>
          <w:sz w:val="24"/>
          <w:szCs w:val="24"/>
        </w:rPr>
        <w:t xml:space="preserve">, ao menos no caso do </w:t>
      </w:r>
      <w:r w:rsidR="00D907F0">
        <w:rPr>
          <w:rFonts w:ascii="Georgia" w:hAnsi="Georgia"/>
          <w:sz w:val="24"/>
          <w:szCs w:val="24"/>
        </w:rPr>
        <w:t>capitalista</w:t>
      </w:r>
      <w:r w:rsidR="00137F86">
        <w:rPr>
          <w:rFonts w:ascii="Georgia" w:hAnsi="Georgia"/>
          <w:sz w:val="24"/>
          <w:szCs w:val="24"/>
        </w:rPr>
        <w:t>,</w:t>
      </w:r>
      <w:r w:rsidR="00D907F0">
        <w:rPr>
          <w:rFonts w:ascii="Georgia" w:hAnsi="Georgia"/>
          <w:sz w:val="24"/>
          <w:szCs w:val="24"/>
        </w:rPr>
        <w:t xml:space="preserve"> para a homogeneização</w:t>
      </w:r>
      <w:r w:rsidR="00FA577E">
        <w:rPr>
          <w:rFonts w:ascii="Georgia" w:hAnsi="Georgia"/>
          <w:sz w:val="24"/>
          <w:szCs w:val="24"/>
        </w:rPr>
        <w:t xml:space="preserve"> forjada pelo “todos iguais pelo consumo</w:t>
      </w:r>
      <w:r w:rsidR="00886576">
        <w:rPr>
          <w:rFonts w:ascii="Georgia" w:hAnsi="Georgia"/>
          <w:sz w:val="24"/>
          <w:szCs w:val="24"/>
        </w:rPr>
        <w:t>”, e os refugos gerados pela proliferação frenética</w:t>
      </w:r>
      <w:r w:rsidR="00137F86">
        <w:rPr>
          <w:rFonts w:ascii="Georgia" w:hAnsi="Georgia"/>
          <w:sz w:val="24"/>
          <w:szCs w:val="24"/>
        </w:rPr>
        <w:t>,</w:t>
      </w:r>
      <w:r w:rsidR="00886576">
        <w:rPr>
          <w:rFonts w:ascii="Georgia" w:hAnsi="Georgia"/>
          <w:sz w:val="24"/>
          <w:szCs w:val="24"/>
        </w:rPr>
        <w:t xml:space="preserve"> c</w:t>
      </w:r>
      <w:r w:rsidR="005A3A1F">
        <w:rPr>
          <w:rFonts w:ascii="Georgia" w:hAnsi="Georgia"/>
          <w:sz w:val="24"/>
          <w:szCs w:val="24"/>
        </w:rPr>
        <w:t>o</w:t>
      </w:r>
      <w:r w:rsidR="00137F86">
        <w:rPr>
          <w:rFonts w:ascii="Georgia" w:hAnsi="Georgia"/>
          <w:sz w:val="24"/>
          <w:szCs w:val="24"/>
        </w:rPr>
        <w:t>mpulsiva e ilimitada de objetos</w:t>
      </w:r>
      <w:r w:rsidR="00477AD2">
        <w:rPr>
          <w:rFonts w:ascii="Georgia" w:hAnsi="Georgia"/>
          <w:sz w:val="24"/>
          <w:szCs w:val="24"/>
        </w:rPr>
        <w:t xml:space="preserve"> feitos para movimentar e retro </w:t>
      </w:r>
      <w:r w:rsidR="00137F86">
        <w:rPr>
          <w:rFonts w:ascii="Georgia" w:hAnsi="Georgia"/>
          <w:sz w:val="24"/>
          <w:szCs w:val="24"/>
        </w:rPr>
        <w:t>alimentar</w:t>
      </w:r>
      <w:r w:rsidR="00886576">
        <w:rPr>
          <w:rFonts w:ascii="Georgia" w:hAnsi="Georgia"/>
          <w:sz w:val="24"/>
          <w:szCs w:val="24"/>
        </w:rPr>
        <w:t xml:space="preserve"> o </w:t>
      </w:r>
      <w:proofErr w:type="spellStart"/>
      <w:r w:rsidR="00886576">
        <w:rPr>
          <w:rFonts w:ascii="Georgia" w:hAnsi="Georgia"/>
          <w:sz w:val="24"/>
          <w:szCs w:val="24"/>
        </w:rPr>
        <w:t>mega</w:t>
      </w:r>
      <w:proofErr w:type="spellEnd"/>
      <w:r w:rsidR="00886576">
        <w:rPr>
          <w:rFonts w:ascii="Georgia" w:hAnsi="Georgia"/>
          <w:sz w:val="24"/>
          <w:szCs w:val="24"/>
        </w:rPr>
        <w:t xml:space="preserve"> mercado global.</w:t>
      </w:r>
    </w:p>
    <w:p w:rsidR="00CD4B34" w:rsidRPr="00CD4B34" w:rsidRDefault="002F142E" w:rsidP="00CD4B34">
      <w:pPr>
        <w:spacing w:line="360" w:lineRule="auto"/>
        <w:ind w:firstLine="709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Consequências</w:t>
      </w:r>
    </w:p>
    <w:p w:rsidR="00CD4B34" w:rsidRDefault="009572E6" w:rsidP="00CD4B34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Na esteira desta</w:t>
      </w:r>
      <w:r w:rsidR="00CD4B34" w:rsidRPr="00CD4B34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 nova faceta da </w:t>
      </w:r>
      <w:proofErr w:type="spellStart"/>
      <w:r w:rsidR="00CD4B34" w:rsidRPr="00CD4B34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biopolítica</w:t>
      </w:r>
      <w:proofErr w:type="spellEnd"/>
      <w:r w:rsidR="00A42BD6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,</w:t>
      </w:r>
      <w:r w:rsidR="00477AD2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 que </w:t>
      </w:r>
      <w:r w:rsidR="00A42BD6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traz o </w:t>
      </w:r>
      <w:r w:rsidR="00477AD2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consumo </w:t>
      </w:r>
      <w:r w:rsidR="00A42BD6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com</w:t>
      </w:r>
      <w:r w:rsidR="00CD4B34" w:rsidRPr="00CD4B34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o traço homogeneizador da cultura, </w:t>
      </w:r>
      <w:r w:rsidR="0080511B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um conjunto </w:t>
      </w:r>
      <w:r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de fenômenos</w:t>
      </w:r>
      <w:r w:rsidR="00A42BD6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,</w:t>
      </w:r>
      <w:r w:rsidR="0080511B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 </w:t>
      </w:r>
      <w:r w:rsidR="00A42BD6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parece despontar no horizonte do laço social, </w:t>
      </w:r>
      <w:r w:rsidR="00185863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evidenciando </w:t>
      </w:r>
      <w:r w:rsidR="00A42BD6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uma</w:t>
      </w:r>
      <w:r w:rsidR="00477AD2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 </w:t>
      </w:r>
      <w:r w:rsidR="00A42BD6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primazia da pulsão de </w:t>
      </w:r>
      <w:r w:rsidR="00477AD2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morte</w:t>
      </w:r>
      <w:r w:rsidR="00A42BD6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, a s</w:t>
      </w:r>
      <w:r w:rsidR="0080511B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e manifesta</w:t>
      </w:r>
      <w:r w:rsidR="00A42BD6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r</w:t>
      </w:r>
      <w:r w:rsidR="0080511B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 por vias as mais deletérias e destrutivas,</w:t>
      </w:r>
      <w:r w:rsidR="00FD20F4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 </w:t>
      </w:r>
      <w:r w:rsidR="00185863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adicionando-se</w:t>
      </w:r>
      <w:r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 à</w:t>
      </w:r>
      <w:r w:rsidR="0080511B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 cadeia do </w:t>
      </w:r>
      <w:r w:rsidR="0080511B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lastRenderedPageBreak/>
        <w:t>“r</w:t>
      </w:r>
      <w:r w:rsidR="00CD4B34" w:rsidRPr="00CD4B34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acismo 2.0</w:t>
      </w:r>
      <w:r w:rsidR="0080511B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”</w:t>
      </w:r>
      <w:r w:rsidR="00477AD2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, </w:t>
      </w:r>
      <w:r w:rsidR="00FD20F4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o que poder</w:t>
      </w:r>
      <w:r w:rsidR="003F42E5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íamos chamar,</w:t>
      </w:r>
      <w:r w:rsidR="00FD20F4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 na esteira de Laurent, de</w:t>
      </w:r>
      <w:r w:rsidR="0080511B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 </w:t>
      </w:r>
      <w:r w:rsidR="00477AD2" w:rsidRPr="00CD4B34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segregação 2.0</w:t>
      </w:r>
      <w:r w:rsidR="00477AD2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 e </w:t>
      </w:r>
      <w:r w:rsidR="00A42BD6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de </w:t>
      </w:r>
      <w:r w:rsidR="0080511B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>intolerância 2.o</w:t>
      </w:r>
      <w:r w:rsidR="00CD4B34" w:rsidRPr="00CD4B34"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  <w:t xml:space="preserve">. </w:t>
      </w:r>
      <w:r w:rsidR="00CD4B34" w:rsidRPr="00CD4B34">
        <w:rPr>
          <w:rFonts w:ascii="Georgia" w:hAnsi="Georgia" w:cs="Times New Roman"/>
          <w:sz w:val="24"/>
          <w:szCs w:val="24"/>
        </w:rPr>
        <w:t>Inúmeros episódios, alguns deles trágicos, a atravessar o cotidiano da cena social e política brasileira e mundial, o testemunha</w:t>
      </w:r>
      <w:r w:rsidR="00A43C6D">
        <w:rPr>
          <w:rFonts w:ascii="Georgia" w:hAnsi="Georgia" w:cs="Times New Roman"/>
          <w:sz w:val="24"/>
          <w:szCs w:val="24"/>
        </w:rPr>
        <w:t>m</w:t>
      </w:r>
      <w:r w:rsidR="00CD4B34" w:rsidRPr="00CD4B34">
        <w:rPr>
          <w:rFonts w:ascii="Georgia" w:hAnsi="Georgia" w:cs="Times New Roman"/>
          <w:sz w:val="24"/>
          <w:szCs w:val="24"/>
        </w:rPr>
        <w:t xml:space="preserve">. Dois deles soam particularmente inquietantes: a polarização ocorrida nas últimas eleições no Brasil e o atentado ao Charlie </w:t>
      </w:r>
      <w:proofErr w:type="spellStart"/>
      <w:r w:rsidR="00CD4B34" w:rsidRPr="00CD4B34">
        <w:rPr>
          <w:rFonts w:ascii="Georgia" w:hAnsi="Georgia" w:cs="Times New Roman"/>
          <w:sz w:val="24"/>
          <w:szCs w:val="24"/>
        </w:rPr>
        <w:t>Hebdo</w:t>
      </w:r>
      <w:proofErr w:type="spellEnd"/>
      <w:r w:rsidR="00CD4B34" w:rsidRPr="00CD4B34">
        <w:rPr>
          <w:rFonts w:ascii="Georgia" w:hAnsi="Georgia" w:cs="Times New Roman"/>
          <w:sz w:val="24"/>
          <w:szCs w:val="24"/>
        </w:rPr>
        <w:t xml:space="preserve"> no início deste ano</w:t>
      </w:r>
      <w:r w:rsidR="00A43C6D">
        <w:rPr>
          <w:rFonts w:ascii="Georgia" w:hAnsi="Georgia" w:cs="Times New Roman"/>
          <w:sz w:val="24"/>
          <w:szCs w:val="24"/>
        </w:rPr>
        <w:t>,</w:t>
      </w:r>
      <w:r w:rsidR="00CD4B34" w:rsidRPr="00CD4B34">
        <w:rPr>
          <w:rFonts w:ascii="Georgia" w:hAnsi="Georgia" w:cs="Times New Roman"/>
          <w:sz w:val="24"/>
          <w:szCs w:val="24"/>
        </w:rPr>
        <w:t xml:space="preserve"> em Paris. </w:t>
      </w:r>
    </w:p>
    <w:p w:rsidR="00CD4B34" w:rsidRPr="00CD4B34" w:rsidRDefault="00CD4B34" w:rsidP="00CD4B34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CD4B34">
        <w:rPr>
          <w:rFonts w:ascii="Georgia" w:hAnsi="Georgia" w:cs="Times New Roman"/>
          <w:sz w:val="24"/>
          <w:szCs w:val="24"/>
        </w:rPr>
        <w:t>Quando Jacques-Alain Miller expressa, em “O amor pela polícia”</w:t>
      </w:r>
      <w:r>
        <w:rPr>
          <w:rStyle w:val="FootnoteReference"/>
          <w:rFonts w:ascii="Georgia" w:hAnsi="Georgia" w:cs="Times New Roman"/>
          <w:sz w:val="24"/>
          <w:szCs w:val="24"/>
        </w:rPr>
        <w:footnoteReference w:id="17"/>
      </w:r>
      <w:r w:rsidRPr="00CD4B34">
        <w:rPr>
          <w:rFonts w:ascii="Georgia" w:hAnsi="Georgia" w:cs="Times New Roman"/>
          <w:sz w:val="24"/>
          <w:szCs w:val="24"/>
        </w:rPr>
        <w:t xml:space="preserve">, a sua estupefação com o fervor </w:t>
      </w:r>
      <w:r w:rsidR="007145B9">
        <w:rPr>
          <w:rFonts w:ascii="Georgia" w:hAnsi="Georgia" w:cs="Times New Roman"/>
          <w:sz w:val="24"/>
          <w:szCs w:val="24"/>
        </w:rPr>
        <w:t>devotado pela população parisiense</w:t>
      </w:r>
      <w:r w:rsidRPr="00CD4B34">
        <w:rPr>
          <w:rFonts w:ascii="Georgia" w:hAnsi="Georgia" w:cs="Times New Roman"/>
          <w:sz w:val="24"/>
          <w:szCs w:val="24"/>
        </w:rPr>
        <w:t xml:space="preserve"> à polícia francesa por ocasião do atentado ao Charlie </w:t>
      </w:r>
      <w:proofErr w:type="spellStart"/>
      <w:r w:rsidRPr="00CD4B34">
        <w:rPr>
          <w:rFonts w:ascii="Georgia" w:hAnsi="Georgia" w:cs="Times New Roman"/>
          <w:sz w:val="24"/>
          <w:szCs w:val="24"/>
        </w:rPr>
        <w:t>Hebdo</w:t>
      </w:r>
      <w:proofErr w:type="spellEnd"/>
      <w:r w:rsidRPr="00CD4B34">
        <w:rPr>
          <w:rFonts w:ascii="Georgia" w:hAnsi="Georgia" w:cs="Times New Roman"/>
          <w:sz w:val="24"/>
          <w:szCs w:val="24"/>
        </w:rPr>
        <w:t>, e com o amor do povo francês pelas forças de repressão naqueles dias, indagava-se também se aquele amor duraria, contando para tanto com o tempo lógico, como ferramenta capaz de elucidar, em um futuro próximo, a opacidade em jogo: o momento de conc</w:t>
      </w:r>
      <w:r w:rsidR="00A43C6D">
        <w:rPr>
          <w:rFonts w:ascii="Georgia" w:hAnsi="Georgia" w:cs="Times New Roman"/>
          <w:sz w:val="24"/>
          <w:szCs w:val="24"/>
        </w:rPr>
        <w:t>luir estaria logo adiante. A</w:t>
      </w:r>
      <w:r w:rsidRPr="00CD4B34">
        <w:rPr>
          <w:rFonts w:ascii="Georgia" w:hAnsi="Georgia" w:cs="Times New Roman"/>
          <w:sz w:val="24"/>
          <w:szCs w:val="24"/>
        </w:rPr>
        <w:t xml:space="preserve">o </w:t>
      </w:r>
      <w:r w:rsidR="007145B9">
        <w:rPr>
          <w:rFonts w:ascii="Georgia" w:hAnsi="Georgia" w:cs="Times New Roman"/>
          <w:sz w:val="24"/>
          <w:szCs w:val="24"/>
        </w:rPr>
        <w:t>final da leitura</w:t>
      </w:r>
      <w:r w:rsidR="00A43C6D">
        <w:rPr>
          <w:rFonts w:ascii="Georgia" w:hAnsi="Georgia" w:cs="Times New Roman"/>
          <w:sz w:val="24"/>
          <w:szCs w:val="24"/>
        </w:rPr>
        <w:t xml:space="preserve"> deste agudo desabafo</w:t>
      </w:r>
      <w:r w:rsidR="007145B9">
        <w:rPr>
          <w:rFonts w:ascii="Georgia" w:hAnsi="Georgia" w:cs="Times New Roman"/>
          <w:sz w:val="24"/>
          <w:szCs w:val="24"/>
        </w:rPr>
        <w:t>, uma questão insistia</w:t>
      </w:r>
      <w:r w:rsidRPr="00CD4B34">
        <w:rPr>
          <w:rFonts w:ascii="Georgia" w:hAnsi="Georgia" w:cs="Times New Roman"/>
          <w:sz w:val="24"/>
          <w:szCs w:val="24"/>
        </w:rPr>
        <w:t xml:space="preserve">: será que haverá momento de concluir? Ou apenas uma profusão infinita de instantes de ver? Já não se fala mais em Amarildo e Charlie também já passou, como um furacão revolvendo as redes sociais. Depois veio o ataque de Copenhague. E outros virão. As notícias. A comoção passageira. E nada de tempo de compreender. Nem de momento de concluir. Em lugar da tríade, o curto circuito do tempo diluído no caldo da sabedoria morna e monótona dos protocolos. Ao final de tudo, um número a mais para engordar as estatísticas. E é só. Os recentes </w:t>
      </w:r>
      <w:r w:rsidR="007145B9">
        <w:rPr>
          <w:rFonts w:ascii="Georgia" w:hAnsi="Georgia" w:cs="Times New Roman"/>
          <w:sz w:val="24"/>
          <w:szCs w:val="24"/>
        </w:rPr>
        <w:t xml:space="preserve">e recorrentes </w:t>
      </w:r>
      <w:r w:rsidRPr="00CD4B34">
        <w:rPr>
          <w:rFonts w:ascii="Georgia" w:hAnsi="Georgia" w:cs="Times New Roman"/>
          <w:sz w:val="24"/>
          <w:szCs w:val="24"/>
        </w:rPr>
        <w:t>acontecimentos, do atentado ao Charlie</w:t>
      </w:r>
      <w:r w:rsidR="007145B9">
        <w:rPr>
          <w:rFonts w:ascii="Georgia" w:hAnsi="Georgia" w:cs="Times New Roman"/>
          <w:sz w:val="24"/>
          <w:szCs w:val="24"/>
        </w:rPr>
        <w:t xml:space="preserve"> em Paris</w:t>
      </w:r>
      <w:r w:rsidRPr="00CD4B34">
        <w:rPr>
          <w:rFonts w:ascii="Georgia" w:hAnsi="Georgia" w:cs="Times New Roman"/>
          <w:sz w:val="24"/>
          <w:szCs w:val="24"/>
        </w:rPr>
        <w:t xml:space="preserve"> à Chacina do Cabula,</w:t>
      </w:r>
      <w:r w:rsidR="007145B9">
        <w:rPr>
          <w:rFonts w:ascii="Georgia" w:hAnsi="Georgia" w:cs="Times New Roman"/>
          <w:sz w:val="24"/>
          <w:szCs w:val="24"/>
        </w:rPr>
        <w:t xml:space="preserve"> em Salvador,</w:t>
      </w:r>
      <w:r w:rsidRPr="00CD4B34">
        <w:rPr>
          <w:rFonts w:ascii="Georgia" w:hAnsi="Georgia" w:cs="Times New Roman"/>
          <w:sz w:val="24"/>
          <w:szCs w:val="24"/>
        </w:rPr>
        <w:t xml:space="preserve"> parecem apontar para uma espécie de implosão do tempo lógico. </w:t>
      </w:r>
    </w:p>
    <w:p w:rsidR="00CD4B34" w:rsidRPr="00CD4B34" w:rsidRDefault="00CD4B34" w:rsidP="00CD4B34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CD4B34">
        <w:rPr>
          <w:rFonts w:ascii="Georgia" w:hAnsi="Georgia" w:cs="Times New Roman"/>
          <w:sz w:val="24"/>
          <w:szCs w:val="24"/>
        </w:rPr>
        <w:t>Mas o que isso tem a ver com a clínica dos praticantes da psicanálise? Os efeitos não apenas chegam à clínica, mas a perpassam. Nas instituições, nos consultórios, nas ruas, através do recurso cada vez mais comum às passagens ao ato como tentativas de haver-se com aquilo que não se compreende, ou como modo de defesa frente a algo vivido como insuportável. O simbólico parece rarefeito, quando não, inoperante, o que sugere uma primazia do eixo imaginário em conexão direta co</w:t>
      </w:r>
      <w:r w:rsidR="00A43C6D">
        <w:rPr>
          <w:rFonts w:ascii="Georgia" w:hAnsi="Georgia" w:cs="Times New Roman"/>
          <w:sz w:val="24"/>
          <w:szCs w:val="24"/>
        </w:rPr>
        <w:t xml:space="preserve">m o real; corriqueiras são </w:t>
      </w:r>
      <w:r w:rsidRPr="00CD4B34">
        <w:rPr>
          <w:rFonts w:ascii="Georgia" w:hAnsi="Georgia" w:cs="Times New Roman"/>
          <w:sz w:val="24"/>
          <w:szCs w:val="24"/>
        </w:rPr>
        <w:t>as saídas pela agressividade e o ódio ao semelhante</w:t>
      </w:r>
      <w:r w:rsidR="00EC33AF">
        <w:rPr>
          <w:rFonts w:ascii="Georgia" w:hAnsi="Georgia" w:cs="Times New Roman"/>
          <w:sz w:val="24"/>
          <w:szCs w:val="24"/>
        </w:rPr>
        <w:t>,</w:t>
      </w:r>
      <w:r w:rsidRPr="00CD4B34">
        <w:rPr>
          <w:rFonts w:ascii="Georgia" w:hAnsi="Georgia" w:cs="Times New Roman"/>
          <w:sz w:val="24"/>
          <w:szCs w:val="24"/>
        </w:rPr>
        <w:t xml:space="preserve"> como moedas de troca frente aos choques dos gozos, a esgarçar o tecido social; é neste estado de coisas que, não raro, se </w:t>
      </w:r>
      <w:r w:rsidRPr="00CD4B34">
        <w:rPr>
          <w:rFonts w:ascii="Georgia" w:hAnsi="Georgia" w:cs="Times New Roman"/>
          <w:sz w:val="24"/>
          <w:szCs w:val="24"/>
        </w:rPr>
        <w:lastRenderedPageBreak/>
        <w:t xml:space="preserve">descortina uma vontade imperativa de destruição daquele que encarna o gozo rejeitado. </w:t>
      </w:r>
    </w:p>
    <w:p w:rsidR="00CD4B34" w:rsidRPr="00CD4B34" w:rsidRDefault="00CD4B34" w:rsidP="00CD4B34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CD4B34">
        <w:rPr>
          <w:rFonts w:ascii="Georgia" w:hAnsi="Georgia" w:cs="Times New Roman"/>
          <w:sz w:val="24"/>
          <w:szCs w:val="24"/>
        </w:rPr>
        <w:t>Outro cap</w:t>
      </w:r>
      <w:r w:rsidR="007145B9">
        <w:rPr>
          <w:rFonts w:ascii="Georgia" w:hAnsi="Georgia" w:cs="Times New Roman"/>
          <w:sz w:val="24"/>
          <w:szCs w:val="24"/>
        </w:rPr>
        <w:t>ítulo a ser investigado é o</w:t>
      </w:r>
      <w:r w:rsidRPr="00CD4B34">
        <w:rPr>
          <w:rFonts w:ascii="Georgia" w:hAnsi="Georgia" w:cs="Times New Roman"/>
          <w:sz w:val="24"/>
          <w:szCs w:val="24"/>
        </w:rPr>
        <w:t xml:space="preserve"> da intolerância ao discurso do inconsciente, e mesmo, ao discurso analítico, e o manejo preciso que a clínica exige do praticante. Nota-se uma primazia da </w:t>
      </w:r>
      <w:proofErr w:type="spellStart"/>
      <w:r w:rsidRPr="00CD4B34">
        <w:rPr>
          <w:rFonts w:ascii="Georgia" w:hAnsi="Georgia" w:cs="Times New Roman"/>
          <w:sz w:val="24"/>
          <w:szCs w:val="24"/>
        </w:rPr>
        <w:t>mostração</w:t>
      </w:r>
      <w:proofErr w:type="spellEnd"/>
      <w:r w:rsidRPr="00CD4B34">
        <w:rPr>
          <w:rFonts w:ascii="Georgia" w:hAnsi="Georgia" w:cs="Times New Roman"/>
          <w:sz w:val="24"/>
          <w:szCs w:val="24"/>
        </w:rPr>
        <w:t xml:space="preserve"> em detrimento do exercício de elaboração e de implicação subjetiva, o que tem consequências para a v</w:t>
      </w:r>
      <w:r w:rsidR="003F42E5">
        <w:rPr>
          <w:rFonts w:ascii="Georgia" w:hAnsi="Georgia" w:cs="Times New Roman"/>
          <w:sz w:val="24"/>
          <w:szCs w:val="24"/>
        </w:rPr>
        <w:t xml:space="preserve">ida, </w:t>
      </w:r>
      <w:r w:rsidRPr="00CD4B34">
        <w:rPr>
          <w:rFonts w:ascii="Georgia" w:hAnsi="Georgia" w:cs="Times New Roman"/>
          <w:sz w:val="24"/>
          <w:szCs w:val="24"/>
        </w:rPr>
        <w:t xml:space="preserve">para </w:t>
      </w:r>
      <w:r w:rsidR="003F42E5">
        <w:rPr>
          <w:rFonts w:ascii="Georgia" w:hAnsi="Georgia" w:cs="Times New Roman"/>
          <w:sz w:val="24"/>
          <w:szCs w:val="24"/>
        </w:rPr>
        <w:t>a</w:t>
      </w:r>
      <w:r w:rsidRPr="00CD4B34">
        <w:rPr>
          <w:rFonts w:ascii="Georgia" w:hAnsi="Georgia" w:cs="Times New Roman"/>
          <w:sz w:val="24"/>
          <w:szCs w:val="24"/>
        </w:rPr>
        <w:t xml:space="preserve"> clínica, e também, quanto às formas de constituição</w:t>
      </w:r>
      <w:r w:rsidR="007145B9">
        <w:rPr>
          <w:rFonts w:ascii="Georgia" w:hAnsi="Georgia" w:cs="Times New Roman"/>
          <w:sz w:val="24"/>
          <w:szCs w:val="24"/>
        </w:rPr>
        <w:t xml:space="preserve"> </w:t>
      </w:r>
      <w:r w:rsidRPr="00CD4B34">
        <w:rPr>
          <w:rFonts w:ascii="Georgia" w:hAnsi="Georgia" w:cs="Times New Roman"/>
          <w:sz w:val="24"/>
          <w:szCs w:val="24"/>
        </w:rPr>
        <w:t>dos sintomas</w:t>
      </w:r>
      <w:r w:rsidR="00C50E08">
        <w:rPr>
          <w:rFonts w:ascii="Georgia" w:hAnsi="Georgia" w:cs="Times New Roman"/>
          <w:sz w:val="24"/>
          <w:szCs w:val="24"/>
        </w:rPr>
        <w:t xml:space="preserve"> e</w:t>
      </w:r>
      <w:r w:rsidR="00E70A09">
        <w:rPr>
          <w:rFonts w:ascii="Georgia" w:hAnsi="Georgia" w:cs="Times New Roman"/>
          <w:sz w:val="24"/>
          <w:szCs w:val="24"/>
        </w:rPr>
        <w:t xml:space="preserve"> a</w:t>
      </w:r>
      <w:r w:rsidR="007145B9">
        <w:rPr>
          <w:rFonts w:ascii="Georgia" w:hAnsi="Georgia" w:cs="Times New Roman"/>
          <w:sz w:val="24"/>
          <w:szCs w:val="24"/>
        </w:rPr>
        <w:t xml:space="preserve"> direção dos tratamentos</w:t>
      </w:r>
      <w:r w:rsidRPr="00CD4B34">
        <w:rPr>
          <w:rFonts w:ascii="Georgia" w:hAnsi="Georgia" w:cs="Times New Roman"/>
          <w:sz w:val="24"/>
          <w:szCs w:val="24"/>
        </w:rPr>
        <w:t xml:space="preserve">. </w:t>
      </w:r>
    </w:p>
    <w:p w:rsidR="007145B9" w:rsidRPr="00697E08" w:rsidRDefault="00CD4B34" w:rsidP="00EC6F71">
      <w:pPr>
        <w:spacing w:line="360" w:lineRule="auto"/>
        <w:ind w:firstLine="709"/>
        <w:jc w:val="both"/>
        <w:rPr>
          <w:rFonts w:ascii="Georgia" w:hAnsi="Georgia" w:cs="Times New Roman"/>
          <w:sz w:val="24"/>
          <w:szCs w:val="24"/>
        </w:rPr>
      </w:pPr>
      <w:r w:rsidRPr="00CD4B34">
        <w:rPr>
          <w:rFonts w:ascii="Georgia" w:hAnsi="Georgia" w:cs="Times New Roman"/>
          <w:sz w:val="24"/>
          <w:szCs w:val="24"/>
        </w:rPr>
        <w:t xml:space="preserve"> </w:t>
      </w:r>
      <w:r w:rsidR="007145B9" w:rsidRPr="00697E08">
        <w:rPr>
          <w:rFonts w:ascii="Georgia" w:hAnsi="Georgia" w:cs="Times New Roman"/>
          <w:sz w:val="24"/>
          <w:szCs w:val="24"/>
        </w:rPr>
        <w:t xml:space="preserve">Se o corpo parece funcionar sozinho; se não há ser no corpo, existe o acontecimento. Os acontecimentos de corpo e suas marcas de gozo. Tais marcas parecem comportar um ponto de </w:t>
      </w:r>
      <w:proofErr w:type="spellStart"/>
      <w:r w:rsidR="007145B9" w:rsidRPr="00697E08">
        <w:rPr>
          <w:rFonts w:ascii="Georgia" w:hAnsi="Georgia" w:cs="Times New Roman"/>
          <w:sz w:val="24"/>
          <w:szCs w:val="24"/>
        </w:rPr>
        <w:t>foraclusão</w:t>
      </w:r>
      <w:proofErr w:type="spellEnd"/>
      <w:r w:rsidR="007145B9" w:rsidRPr="00697E08">
        <w:rPr>
          <w:rFonts w:ascii="Georgia" w:hAnsi="Georgia" w:cs="Times New Roman"/>
          <w:sz w:val="24"/>
          <w:szCs w:val="24"/>
        </w:rPr>
        <w:t xml:space="preserve"> para todo e qualquer sujeito, vindo a funcionar tal qual um paralelo a atravessar a verticalidade da clínica estrutural, aproximando entre si, neste exato ponto, as clássicas estruturas clínicas, antes absolutamente separadas pelo bastião do Nome do Pai. A clínica do </w:t>
      </w:r>
      <w:proofErr w:type="spellStart"/>
      <w:r w:rsidR="007145B9" w:rsidRPr="00697E08">
        <w:rPr>
          <w:rFonts w:ascii="Georgia" w:hAnsi="Georgia" w:cs="Times New Roman"/>
          <w:sz w:val="24"/>
          <w:szCs w:val="24"/>
        </w:rPr>
        <w:t>falasser</w:t>
      </w:r>
      <w:proofErr w:type="spellEnd"/>
      <w:r w:rsidR="007145B9" w:rsidRPr="00697E08">
        <w:rPr>
          <w:rFonts w:ascii="Georgia" w:hAnsi="Georgia" w:cs="Times New Roman"/>
          <w:sz w:val="24"/>
          <w:szCs w:val="24"/>
        </w:rPr>
        <w:t xml:space="preserve"> é um</w:t>
      </w:r>
      <w:r w:rsidR="00DB79BB">
        <w:rPr>
          <w:rFonts w:ascii="Georgia" w:hAnsi="Georgia" w:cs="Times New Roman"/>
          <w:sz w:val="24"/>
          <w:szCs w:val="24"/>
        </w:rPr>
        <w:t>a</w:t>
      </w:r>
      <w:r w:rsidR="007145B9" w:rsidRPr="00697E08">
        <w:rPr>
          <w:rFonts w:ascii="Georgia" w:hAnsi="Georgia" w:cs="Times New Roman"/>
          <w:sz w:val="24"/>
          <w:szCs w:val="24"/>
        </w:rPr>
        <w:t xml:space="preserve"> clínica do acontecimento de corpo, de sua localização e nomeação. E assim, onde se apresentará a intolerância ao discurso analítico, e mesmo, ao inconsciente, lê-se as marcas da não relação, dos pontos de exterioridade ao simbólico, as marcas de gozo aí fixadas; e inventa-se, com o recurso à palavra (e não menos, aos silêncios), uma arte de manejar lacunas, e uma arte de extrair do lacunar, nomes, nomeações</w:t>
      </w:r>
      <w:r w:rsidR="006C3883">
        <w:rPr>
          <w:rFonts w:ascii="Georgia" w:hAnsi="Georgia" w:cs="Times New Roman"/>
          <w:sz w:val="24"/>
          <w:szCs w:val="24"/>
        </w:rPr>
        <w:t>, conjugados no singular</w:t>
      </w:r>
      <w:r w:rsidR="007145B9" w:rsidRPr="00697E08">
        <w:rPr>
          <w:rFonts w:ascii="Georgia" w:hAnsi="Georgia" w:cs="Times New Roman"/>
          <w:sz w:val="24"/>
          <w:szCs w:val="24"/>
        </w:rPr>
        <w:t>.</w:t>
      </w:r>
    </w:p>
    <w:p w:rsidR="00671579" w:rsidRPr="00697E08" w:rsidRDefault="00671579" w:rsidP="007145B9">
      <w:pPr>
        <w:shd w:val="clear" w:color="auto" w:fill="FFFFFF"/>
        <w:spacing w:after="0" w:line="360" w:lineRule="auto"/>
        <w:ind w:firstLine="709"/>
        <w:jc w:val="both"/>
        <w:rPr>
          <w:rFonts w:ascii="Georgia" w:eastAsia="Times New Roman" w:hAnsi="Georgia" w:cs="Helvetica"/>
          <w:color w:val="141823"/>
          <w:sz w:val="24"/>
          <w:szCs w:val="24"/>
          <w:lang w:eastAsia="pt-BR"/>
        </w:rPr>
      </w:pPr>
    </w:p>
    <w:sectPr w:rsidR="00671579" w:rsidRPr="00697E0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53" w:rsidRDefault="00850953" w:rsidP="00674395">
      <w:pPr>
        <w:spacing w:after="0" w:line="240" w:lineRule="auto"/>
      </w:pPr>
      <w:r>
        <w:separator/>
      </w:r>
    </w:p>
  </w:endnote>
  <w:endnote w:type="continuationSeparator" w:id="0">
    <w:p w:rsidR="00850953" w:rsidRDefault="00850953" w:rsidP="00674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99066"/>
      <w:docPartObj>
        <w:docPartGallery w:val="Page Numbers (Bottom of Page)"/>
        <w:docPartUnique/>
      </w:docPartObj>
    </w:sdtPr>
    <w:sdtEndPr/>
    <w:sdtContent>
      <w:p w:rsidR="00CD4B34" w:rsidRDefault="00CD4B3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632">
          <w:rPr>
            <w:noProof/>
          </w:rPr>
          <w:t>8</w:t>
        </w:r>
        <w:r>
          <w:fldChar w:fldCharType="end"/>
        </w:r>
      </w:p>
    </w:sdtContent>
  </w:sdt>
  <w:p w:rsidR="00CD4B34" w:rsidRDefault="00CD4B3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53" w:rsidRDefault="00850953" w:rsidP="00674395">
      <w:pPr>
        <w:spacing w:after="0" w:line="240" w:lineRule="auto"/>
      </w:pPr>
      <w:r>
        <w:separator/>
      </w:r>
    </w:p>
  </w:footnote>
  <w:footnote w:type="continuationSeparator" w:id="0">
    <w:p w:rsidR="00850953" w:rsidRDefault="00850953" w:rsidP="00674395">
      <w:pPr>
        <w:spacing w:after="0" w:line="240" w:lineRule="auto"/>
      </w:pPr>
      <w:r>
        <w:continuationSeparator/>
      </w:r>
    </w:p>
  </w:footnote>
  <w:footnote w:id="1">
    <w:p w:rsidR="00697E08" w:rsidRPr="00697E08" w:rsidRDefault="00CD4B34" w:rsidP="00697E08">
      <w:pPr>
        <w:spacing w:line="240" w:lineRule="auto"/>
        <w:rPr>
          <w:rFonts w:cs="Times New Roman"/>
          <w:sz w:val="20"/>
          <w:szCs w:val="20"/>
        </w:rPr>
      </w:pPr>
      <w:r>
        <w:rPr>
          <w:rStyle w:val="FootnoteReference"/>
        </w:rPr>
        <w:footnoteRef/>
      </w:r>
      <w:r w:rsidRPr="002A7F15">
        <w:rPr>
          <w:lang w:val="en-US"/>
        </w:rPr>
        <w:t xml:space="preserve"> </w:t>
      </w:r>
      <w:r w:rsidR="008A1147">
        <w:rPr>
          <w:sz w:val="20"/>
          <w:szCs w:val="20"/>
          <w:lang w:val="en-US"/>
        </w:rPr>
        <w:t>Laurent</w:t>
      </w:r>
      <w:r w:rsidRPr="00697E08">
        <w:rPr>
          <w:sz w:val="20"/>
          <w:szCs w:val="20"/>
          <w:lang w:val="en-US"/>
        </w:rPr>
        <w:t>, E.</w:t>
      </w:r>
      <w:r w:rsidR="00697E08" w:rsidRPr="00697E08">
        <w:rPr>
          <w:rFonts w:cs="Times New Roman"/>
          <w:sz w:val="20"/>
          <w:szCs w:val="20"/>
          <w:lang w:val="en-US"/>
        </w:rPr>
        <w:t xml:space="preserve"> “</w:t>
      </w:r>
      <w:proofErr w:type="spellStart"/>
      <w:r w:rsidR="00697E08" w:rsidRPr="00697E08">
        <w:rPr>
          <w:rFonts w:cs="Times New Roman"/>
          <w:sz w:val="20"/>
          <w:szCs w:val="20"/>
          <w:lang w:val="en-US"/>
        </w:rPr>
        <w:t>Racismo</w:t>
      </w:r>
      <w:proofErr w:type="spellEnd"/>
      <w:r w:rsidR="00697E08" w:rsidRPr="00697E08">
        <w:rPr>
          <w:rFonts w:cs="Times New Roman"/>
          <w:sz w:val="20"/>
          <w:szCs w:val="20"/>
          <w:lang w:val="en-US"/>
        </w:rPr>
        <w:t xml:space="preserve"> 2.0”. </w:t>
      </w:r>
      <w:r w:rsidR="00697E08" w:rsidRPr="00DB79BB">
        <w:rPr>
          <w:rFonts w:cs="Times New Roman"/>
          <w:sz w:val="20"/>
          <w:szCs w:val="20"/>
          <w:lang w:val="en-US"/>
        </w:rPr>
        <w:t xml:space="preserve">In: </w:t>
      </w:r>
      <w:r w:rsidR="00697E08" w:rsidRPr="00DB79BB">
        <w:rPr>
          <w:rFonts w:cs="Times New Roman"/>
          <w:i/>
          <w:sz w:val="20"/>
          <w:szCs w:val="20"/>
          <w:lang w:val="en-US"/>
        </w:rPr>
        <w:t xml:space="preserve">Lacan Cotidiano </w:t>
      </w:r>
      <w:r w:rsidR="00697E08" w:rsidRPr="00DB79BB">
        <w:rPr>
          <w:rFonts w:cs="Times New Roman"/>
          <w:sz w:val="20"/>
          <w:szCs w:val="20"/>
          <w:lang w:val="en-US"/>
        </w:rPr>
        <w:t xml:space="preserve">n.371. </w:t>
      </w:r>
      <w:r w:rsidR="00697E08" w:rsidRPr="00697E08">
        <w:rPr>
          <w:rFonts w:cs="Times New Roman"/>
          <w:sz w:val="20"/>
          <w:szCs w:val="20"/>
        </w:rPr>
        <w:t xml:space="preserve">Disponível em: </w:t>
      </w:r>
      <w:hyperlink r:id="rId1" w:history="1">
        <w:r w:rsidR="00697E08" w:rsidRPr="00697E08">
          <w:rPr>
            <w:rStyle w:val="Hyperlink"/>
            <w:rFonts w:cs="Times New Roman"/>
            <w:sz w:val="20"/>
            <w:szCs w:val="20"/>
          </w:rPr>
          <w:t>http://ampblog2006.blogspot.com.br/2014/02/lacan-cotidiano-n-371-portugues.html</w:t>
        </w:r>
      </w:hyperlink>
      <w:r w:rsidR="00697E08" w:rsidRPr="00697E08">
        <w:rPr>
          <w:rFonts w:cs="Times New Roman"/>
          <w:sz w:val="20"/>
          <w:szCs w:val="20"/>
        </w:rPr>
        <w:t xml:space="preserve"> </w:t>
      </w:r>
    </w:p>
    <w:p w:rsidR="00CD4B34" w:rsidRPr="00697E08" w:rsidRDefault="00CD4B34">
      <w:pPr>
        <w:pStyle w:val="FootnoteText"/>
      </w:pPr>
    </w:p>
  </w:footnote>
  <w:footnote w:id="2">
    <w:p w:rsidR="00CD4B34" w:rsidRPr="0063518D" w:rsidRDefault="00CD4B34">
      <w:pPr>
        <w:pStyle w:val="FootnoteText"/>
      </w:pPr>
      <w:r>
        <w:rPr>
          <w:rStyle w:val="FootnoteReference"/>
        </w:rPr>
        <w:footnoteRef/>
      </w:r>
      <w:r w:rsidRPr="0063518D">
        <w:t xml:space="preserve"> </w:t>
      </w:r>
      <w:proofErr w:type="spellStart"/>
      <w:r w:rsidR="008A1147">
        <w:t>Esposito</w:t>
      </w:r>
      <w:proofErr w:type="spellEnd"/>
      <w:r w:rsidRPr="0063518D">
        <w:t xml:space="preserve">, R. </w:t>
      </w:r>
      <w:proofErr w:type="spellStart"/>
      <w:r w:rsidR="0063518D" w:rsidRPr="0063518D">
        <w:rPr>
          <w:i/>
        </w:rPr>
        <w:t>Bios</w:t>
      </w:r>
      <w:proofErr w:type="spellEnd"/>
      <w:r w:rsidR="0063518D" w:rsidRPr="0063518D">
        <w:rPr>
          <w:i/>
        </w:rPr>
        <w:t xml:space="preserve">. </w:t>
      </w:r>
      <w:proofErr w:type="spellStart"/>
      <w:r w:rsidR="0063518D" w:rsidRPr="0063518D">
        <w:rPr>
          <w:i/>
        </w:rPr>
        <w:t>Biopolítica</w:t>
      </w:r>
      <w:proofErr w:type="spellEnd"/>
      <w:r w:rsidR="0063518D" w:rsidRPr="0063518D">
        <w:rPr>
          <w:i/>
        </w:rPr>
        <w:t xml:space="preserve"> y filosofia. </w:t>
      </w:r>
      <w:proofErr w:type="spellStart"/>
      <w:r w:rsidR="0063518D">
        <w:t>Amorrotu</w:t>
      </w:r>
      <w:proofErr w:type="spellEnd"/>
      <w:r w:rsidR="0063518D">
        <w:t>, Buenos Aires, 2006, p.33.</w:t>
      </w:r>
    </w:p>
  </w:footnote>
  <w:footnote w:id="3">
    <w:p w:rsidR="00CD4B34" w:rsidRPr="006729A0" w:rsidRDefault="00CD4B34">
      <w:pPr>
        <w:pStyle w:val="FootnoteText"/>
      </w:pPr>
      <w:r>
        <w:rPr>
          <w:rStyle w:val="FootnoteReference"/>
        </w:rPr>
        <w:footnoteRef/>
      </w:r>
      <w:r w:rsidR="008A1147">
        <w:t xml:space="preserve"> Negri</w:t>
      </w:r>
      <w:r w:rsidRPr="006729A0">
        <w:t xml:space="preserve">, A. </w:t>
      </w:r>
      <w:r w:rsidR="0063518D">
        <w:rPr>
          <w:i/>
        </w:rPr>
        <w:t>Exílio</w:t>
      </w:r>
      <w:r w:rsidR="0063518D">
        <w:t xml:space="preserve">. </w:t>
      </w:r>
      <w:proofErr w:type="spellStart"/>
      <w:r w:rsidR="0063518D">
        <w:t>Saõ</w:t>
      </w:r>
      <w:proofErr w:type="spellEnd"/>
      <w:r w:rsidR="0063518D">
        <w:t xml:space="preserve"> Paulo: Iluminuras, 2001,</w:t>
      </w:r>
      <w:r w:rsidRPr="006729A0">
        <w:rPr>
          <w:i/>
        </w:rPr>
        <w:t xml:space="preserve"> </w:t>
      </w:r>
      <w:r w:rsidRPr="006729A0">
        <w:t>p.33.</w:t>
      </w:r>
    </w:p>
  </w:footnote>
  <w:footnote w:id="4">
    <w:p w:rsidR="00CD4B34" w:rsidRPr="006729A0" w:rsidRDefault="00CD4B34" w:rsidP="006729A0">
      <w:pPr>
        <w:pStyle w:val="FootnoteText"/>
      </w:pPr>
      <w:r>
        <w:rPr>
          <w:rStyle w:val="FootnoteReference"/>
        </w:rPr>
        <w:footnoteRef/>
      </w:r>
      <w:r w:rsidR="008A1147">
        <w:t xml:space="preserve"> </w:t>
      </w:r>
      <w:proofErr w:type="spellStart"/>
      <w:r w:rsidR="008A1147">
        <w:t>Bauman</w:t>
      </w:r>
      <w:proofErr w:type="spellEnd"/>
      <w:r>
        <w:t xml:space="preserve">, Z. </w:t>
      </w:r>
      <w:r>
        <w:rPr>
          <w:i/>
        </w:rPr>
        <w:t>Vidas desperdiçadas</w:t>
      </w:r>
      <w:r w:rsidR="0063518D">
        <w:t>. Rio de Janeiro: Jorge Zahar</w:t>
      </w:r>
      <w:r>
        <w:rPr>
          <w:i/>
        </w:rPr>
        <w:t xml:space="preserve">, </w:t>
      </w:r>
      <w:r>
        <w:t xml:space="preserve">p.107. </w:t>
      </w:r>
    </w:p>
  </w:footnote>
  <w:footnote w:id="5">
    <w:p w:rsidR="00CD4B34" w:rsidRPr="000747EC" w:rsidRDefault="00CD4B34">
      <w:pPr>
        <w:pStyle w:val="FootnoteText"/>
      </w:pPr>
      <w:r>
        <w:rPr>
          <w:rStyle w:val="FootnoteReference"/>
        </w:rPr>
        <w:footnoteRef/>
      </w:r>
      <w:r w:rsidR="008A1147">
        <w:t xml:space="preserve"> </w:t>
      </w:r>
      <w:proofErr w:type="spellStart"/>
      <w:r w:rsidR="008A1147">
        <w:t>Agamben</w:t>
      </w:r>
      <w:proofErr w:type="spellEnd"/>
      <w:r>
        <w:t xml:space="preserve">, G. </w:t>
      </w:r>
      <w:r>
        <w:rPr>
          <w:i/>
        </w:rPr>
        <w:t xml:space="preserve">Homo </w:t>
      </w:r>
      <w:proofErr w:type="spellStart"/>
      <w:r>
        <w:rPr>
          <w:i/>
        </w:rPr>
        <w:t>Sacer</w:t>
      </w:r>
      <w:proofErr w:type="spellEnd"/>
      <w:r>
        <w:rPr>
          <w:i/>
        </w:rPr>
        <w:t>: o poder soberano e a vida nua</w:t>
      </w:r>
      <w:r w:rsidR="0063518D">
        <w:t>. Belo Horizonte: Editora UFMG, 2007</w:t>
      </w:r>
      <w:r>
        <w:rPr>
          <w:i/>
        </w:rPr>
        <w:t xml:space="preserve">, </w:t>
      </w:r>
      <w:r>
        <w:t xml:space="preserve">p.187-194. </w:t>
      </w:r>
    </w:p>
  </w:footnote>
  <w:footnote w:id="6">
    <w:p w:rsidR="00CD4B34" w:rsidRPr="006C3DC4" w:rsidRDefault="00CD4B34" w:rsidP="006C3DC4">
      <w:pPr>
        <w:pStyle w:val="FootnoteText"/>
        <w:jc w:val="both"/>
        <w:rPr>
          <w:rFonts w:cs="Times New Roman"/>
        </w:rPr>
      </w:pPr>
      <w:r w:rsidRPr="0054055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 w:rsidR="008A1147">
        <w:t>Agamben</w:t>
      </w:r>
      <w:proofErr w:type="spellEnd"/>
      <w:r>
        <w:t xml:space="preserve">, G. </w:t>
      </w:r>
      <w:r>
        <w:rPr>
          <w:i/>
        </w:rPr>
        <w:t xml:space="preserve">Homo </w:t>
      </w:r>
      <w:proofErr w:type="spellStart"/>
      <w:r>
        <w:rPr>
          <w:i/>
        </w:rPr>
        <w:t>Sacer</w:t>
      </w:r>
      <w:proofErr w:type="spellEnd"/>
      <w:r>
        <w:rPr>
          <w:i/>
        </w:rPr>
        <w:t xml:space="preserve">: o poder soberano e a vida </w:t>
      </w:r>
      <w:r w:rsidRPr="006C3DC4">
        <w:rPr>
          <w:i/>
        </w:rPr>
        <w:t>nua,</w:t>
      </w:r>
      <w:r w:rsidRPr="006C3DC4">
        <w:rPr>
          <w:rFonts w:cs="Times New Roman"/>
        </w:rPr>
        <w:t xml:space="preserve"> p. 175.</w:t>
      </w:r>
    </w:p>
  </w:footnote>
  <w:footnote w:id="7">
    <w:p w:rsidR="00CD4B34" w:rsidRPr="006B7608" w:rsidRDefault="00CD4B34">
      <w:pPr>
        <w:pStyle w:val="FootnoteText"/>
        <w:rPr>
          <w:i/>
        </w:rPr>
      </w:pPr>
      <w:r>
        <w:rPr>
          <w:rStyle w:val="FootnoteReference"/>
        </w:rPr>
        <w:footnoteRef/>
      </w:r>
      <w:r w:rsidR="008A1147">
        <w:t xml:space="preserve"> </w:t>
      </w:r>
      <w:proofErr w:type="spellStart"/>
      <w:r w:rsidR="008A1147">
        <w:t>Agamben</w:t>
      </w:r>
      <w:proofErr w:type="spellEnd"/>
      <w:r>
        <w:t xml:space="preserve">, G. </w:t>
      </w:r>
      <w:r>
        <w:rPr>
          <w:i/>
        </w:rPr>
        <w:t>O que resta de Auschwitz</w:t>
      </w:r>
      <w:r w:rsidR="0063518D">
        <w:t xml:space="preserve">. São Paulo: </w:t>
      </w:r>
      <w:proofErr w:type="spellStart"/>
      <w:r w:rsidR="0063518D">
        <w:t>Boitempo</w:t>
      </w:r>
      <w:proofErr w:type="spellEnd"/>
      <w:r w:rsidR="0063518D">
        <w:t>, 2008</w:t>
      </w:r>
      <w:r>
        <w:rPr>
          <w:i/>
        </w:rPr>
        <w:t xml:space="preserve">, </w:t>
      </w:r>
      <w:r w:rsidRPr="006B7608">
        <w:t>p.</w:t>
      </w:r>
      <w:r>
        <w:t>156.</w:t>
      </w:r>
    </w:p>
  </w:footnote>
  <w:footnote w:id="8">
    <w:p w:rsidR="00CD4B34" w:rsidRDefault="00CD4B34">
      <w:pPr>
        <w:pStyle w:val="FootnoteText"/>
      </w:pPr>
      <w:r>
        <w:rPr>
          <w:rStyle w:val="FootnoteReference"/>
        </w:rPr>
        <w:footnoteRef/>
      </w:r>
      <w:r w:rsidR="007A7A5A">
        <w:t xml:space="preserve"> </w:t>
      </w:r>
      <w:proofErr w:type="spellStart"/>
      <w:r w:rsidR="007A7A5A">
        <w:t>Agamben</w:t>
      </w:r>
      <w:proofErr w:type="spellEnd"/>
      <w:r>
        <w:t xml:space="preserve">, G. </w:t>
      </w:r>
      <w:r>
        <w:rPr>
          <w:i/>
        </w:rPr>
        <w:t xml:space="preserve">Homo </w:t>
      </w:r>
      <w:proofErr w:type="spellStart"/>
      <w:r>
        <w:rPr>
          <w:i/>
        </w:rPr>
        <w:t>Sacer</w:t>
      </w:r>
      <w:proofErr w:type="spellEnd"/>
      <w:r>
        <w:rPr>
          <w:i/>
        </w:rPr>
        <w:t xml:space="preserve">: o poder soberano e a vida nua, </w:t>
      </w:r>
      <w:r>
        <w:t>p.191.</w:t>
      </w:r>
    </w:p>
  </w:footnote>
  <w:footnote w:id="9">
    <w:p w:rsidR="00CD4B34" w:rsidRDefault="00CD4B34" w:rsidP="006B7608">
      <w:pPr>
        <w:pStyle w:val="FootnoteText"/>
      </w:pPr>
      <w:r>
        <w:rPr>
          <w:rStyle w:val="FootnoteReference"/>
        </w:rPr>
        <w:footnoteRef/>
      </w:r>
      <w:r>
        <w:t xml:space="preserve"> Sobre este ponto, vale consultar </w:t>
      </w:r>
      <w:proofErr w:type="spellStart"/>
      <w:r>
        <w:t>Legey</w:t>
      </w:r>
      <w:proofErr w:type="spellEnd"/>
      <w:r>
        <w:t xml:space="preserve">, P. “Sobre ruas e litorais: do corpo da </w:t>
      </w:r>
      <w:proofErr w:type="spellStart"/>
      <w:r>
        <w:t>biopolítica</w:t>
      </w:r>
      <w:proofErr w:type="spellEnd"/>
      <w:r>
        <w:t xml:space="preserve"> ao nó”.</w:t>
      </w:r>
    </w:p>
  </w:footnote>
  <w:footnote w:id="10">
    <w:p w:rsidR="00CD4B34" w:rsidRPr="00E970C3" w:rsidRDefault="00CD4B34" w:rsidP="00DD71B8">
      <w:pPr>
        <w:pStyle w:val="FootnoteText"/>
      </w:pPr>
      <w:r>
        <w:rPr>
          <w:rStyle w:val="FootnoteReference"/>
        </w:rPr>
        <w:footnoteRef/>
      </w:r>
      <w:r w:rsidR="007A7A5A">
        <w:t xml:space="preserve"> </w:t>
      </w:r>
      <w:proofErr w:type="spellStart"/>
      <w:r w:rsidR="007A7A5A">
        <w:t>Laclau</w:t>
      </w:r>
      <w:proofErr w:type="spellEnd"/>
      <w:r>
        <w:t xml:space="preserve">, E. </w:t>
      </w:r>
      <w:r>
        <w:rPr>
          <w:i/>
        </w:rPr>
        <w:t>Debates y combates</w:t>
      </w:r>
      <w:r w:rsidR="0063518D">
        <w:t xml:space="preserve">. Buenos Aires, </w:t>
      </w:r>
      <w:proofErr w:type="spellStart"/>
      <w:r w:rsidR="0063518D">
        <w:t>Fondo</w:t>
      </w:r>
      <w:proofErr w:type="spellEnd"/>
      <w:r w:rsidR="0063518D">
        <w:t xml:space="preserve"> de Cultura Económica, 2008</w:t>
      </w:r>
      <w:r>
        <w:t>, p.122.</w:t>
      </w:r>
    </w:p>
  </w:footnote>
  <w:footnote w:id="11">
    <w:p w:rsidR="00CD4B34" w:rsidRPr="00840432" w:rsidRDefault="00CD4B34">
      <w:pPr>
        <w:pStyle w:val="FootnoteText"/>
      </w:pPr>
      <w:r>
        <w:rPr>
          <w:rStyle w:val="FootnoteReference"/>
        </w:rPr>
        <w:footnoteRef/>
      </w:r>
      <w:r w:rsidR="007A7A5A">
        <w:t xml:space="preserve"> Kjellén</w:t>
      </w:r>
      <w:r>
        <w:t xml:space="preserve">, R. </w:t>
      </w:r>
      <w:proofErr w:type="spellStart"/>
      <w:r w:rsidRPr="00840432">
        <w:rPr>
          <w:rFonts w:eastAsia="Times New Roman" w:cs="Times New Roman"/>
          <w:i/>
          <w:lang w:eastAsia="pt-BR"/>
        </w:rPr>
        <w:t>Staten</w:t>
      </w:r>
      <w:proofErr w:type="spellEnd"/>
      <w:r w:rsidRPr="00840432">
        <w:rPr>
          <w:rFonts w:eastAsia="Times New Roman" w:cs="Times New Roman"/>
          <w:i/>
          <w:lang w:eastAsia="pt-BR"/>
        </w:rPr>
        <w:t xml:space="preserve"> som </w:t>
      </w:r>
      <w:proofErr w:type="spellStart"/>
      <w:r w:rsidRPr="00840432">
        <w:rPr>
          <w:rFonts w:eastAsia="Times New Roman" w:cs="Times New Roman"/>
          <w:i/>
          <w:lang w:eastAsia="pt-BR"/>
        </w:rPr>
        <w:t>livsform</w:t>
      </w:r>
      <w:proofErr w:type="spellEnd"/>
      <w:r>
        <w:rPr>
          <w:rFonts w:eastAsia="Times New Roman" w:cs="Times New Roman"/>
          <w:lang w:eastAsia="pt-BR"/>
        </w:rPr>
        <w:t xml:space="preserve">, publicada por primeira vem em 1916. </w:t>
      </w:r>
    </w:p>
  </w:footnote>
  <w:footnote w:id="12">
    <w:p w:rsidR="00CD4B34" w:rsidRPr="00C05FA4" w:rsidRDefault="00CD4B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EC33AF">
        <w:t>Esposito</w:t>
      </w:r>
      <w:proofErr w:type="spellEnd"/>
      <w:r>
        <w:t>, R</w:t>
      </w:r>
      <w:r w:rsidRPr="00C05FA4">
        <w:t xml:space="preserve">. </w:t>
      </w:r>
      <w:proofErr w:type="spellStart"/>
      <w:r w:rsidRPr="00C05FA4">
        <w:rPr>
          <w:i/>
        </w:rPr>
        <w:t>Bios</w:t>
      </w:r>
      <w:proofErr w:type="spellEnd"/>
      <w:r w:rsidRPr="00C05FA4">
        <w:rPr>
          <w:i/>
        </w:rPr>
        <w:t xml:space="preserve">. </w:t>
      </w:r>
      <w:proofErr w:type="spellStart"/>
      <w:r w:rsidRPr="00C05FA4">
        <w:rPr>
          <w:i/>
        </w:rPr>
        <w:t>Biopolítica</w:t>
      </w:r>
      <w:proofErr w:type="spellEnd"/>
      <w:r w:rsidRPr="00C05FA4">
        <w:rPr>
          <w:i/>
        </w:rPr>
        <w:t xml:space="preserve"> y filosofia</w:t>
      </w:r>
      <w:r>
        <w:t>, p.32.</w:t>
      </w:r>
    </w:p>
  </w:footnote>
  <w:footnote w:id="13">
    <w:p w:rsidR="00137F86" w:rsidRDefault="00137F86" w:rsidP="00137F8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Bauman</w:t>
      </w:r>
      <w:proofErr w:type="spellEnd"/>
      <w:r>
        <w:t xml:space="preserve">, Z. </w:t>
      </w:r>
      <w:r>
        <w:rPr>
          <w:i/>
        </w:rPr>
        <w:t xml:space="preserve">Vidas desperdiçadas, </w:t>
      </w:r>
      <w:r>
        <w:t xml:space="preserve">p.106-109. </w:t>
      </w:r>
    </w:p>
  </w:footnote>
  <w:footnote w:id="14">
    <w:p w:rsidR="00576636" w:rsidRDefault="00576636">
      <w:pPr>
        <w:pStyle w:val="FootnoteText"/>
      </w:pPr>
      <w:r>
        <w:rPr>
          <w:rStyle w:val="FootnoteReference"/>
        </w:rPr>
        <w:footnoteRef/>
      </w:r>
      <w:r>
        <w:t xml:space="preserve"> Soares, L.E. “Sobre a maioridade penal”. Disponível em: </w:t>
      </w:r>
      <w:hyperlink r:id="rId2" w:history="1">
        <w:r w:rsidR="00137F86" w:rsidRPr="00FA3556">
          <w:rPr>
            <w:rStyle w:val="Hyperlink"/>
          </w:rPr>
          <w:t>http://diretorianarede.com.br/luiz-eduardo-soares-e-sua-opiniao-sobre-a-reducao-da-maioridade-penal/</w:t>
        </w:r>
      </w:hyperlink>
      <w:r w:rsidR="00137F86">
        <w:t xml:space="preserve"> </w:t>
      </w:r>
    </w:p>
  </w:footnote>
  <w:footnote w:id="15">
    <w:p w:rsidR="00CD4B34" w:rsidRDefault="00CD4B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Bignotto</w:t>
      </w:r>
      <w:proofErr w:type="spellEnd"/>
      <w:r>
        <w:t>, N. “Homogeneidade e exceção”</w:t>
      </w:r>
      <w:r w:rsidR="0063518D">
        <w:t xml:space="preserve">. In: </w:t>
      </w:r>
      <w:r w:rsidR="0063518D">
        <w:rPr>
          <w:i/>
        </w:rPr>
        <w:t>Curinga</w:t>
      </w:r>
      <w:r w:rsidR="0063518D">
        <w:t>. Belo Horizonte: EBP-MG</w:t>
      </w:r>
      <w:r w:rsidR="00EC33AF">
        <w:t>, n.35</w:t>
      </w:r>
      <w:r>
        <w:t>, p. 72-14.</w:t>
      </w:r>
    </w:p>
  </w:footnote>
  <w:footnote w:id="16">
    <w:p w:rsidR="00CD4B34" w:rsidRDefault="00CD4B3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Miller</w:t>
      </w:r>
      <w:r w:rsidR="00C73105">
        <w:t>, J-A.</w:t>
      </w:r>
      <w:r w:rsidRPr="00F8702E">
        <w:t>“</w:t>
      </w:r>
      <w:proofErr w:type="spellStart"/>
      <w:r w:rsidR="00C73105">
        <w:rPr>
          <w:color w:val="000000"/>
        </w:rPr>
        <w:t>Réponse</w:t>
      </w:r>
      <w:proofErr w:type="spellEnd"/>
      <w:r w:rsidR="00C73105">
        <w:rPr>
          <w:color w:val="000000"/>
        </w:rPr>
        <w:t xml:space="preserve"> à </w:t>
      </w:r>
      <w:proofErr w:type="spellStart"/>
      <w:r w:rsidR="00C73105">
        <w:rPr>
          <w:color w:val="000000"/>
        </w:rPr>
        <w:t>Rancière</w:t>
      </w:r>
      <w:proofErr w:type="spellEnd"/>
      <w:r w:rsidR="00C73105">
        <w:rPr>
          <w:color w:val="000000"/>
        </w:rPr>
        <w:t xml:space="preserve">”. Disponível </w:t>
      </w:r>
      <w:proofErr w:type="spellStart"/>
      <w:r>
        <w:rPr>
          <w:color w:val="000000"/>
        </w:rPr>
        <w:t>em:</w:t>
      </w:r>
      <w:hyperlink r:id="rId3" w:history="1">
        <w:r w:rsidRPr="0032696D">
          <w:rPr>
            <w:rStyle w:val="Hyperlink"/>
          </w:rPr>
          <w:t>http</w:t>
        </w:r>
        <w:proofErr w:type="spellEnd"/>
        <w:r w:rsidRPr="0032696D">
          <w:rPr>
            <w:rStyle w:val="Hyperlink"/>
          </w:rPr>
          <w:t>://blogs.mediapart.fr/blog/</w:t>
        </w:r>
        <w:proofErr w:type="spellStart"/>
        <w:r w:rsidRPr="0032696D">
          <w:rPr>
            <w:rStyle w:val="Hyperlink"/>
          </w:rPr>
          <w:t>jam</w:t>
        </w:r>
        <w:proofErr w:type="spellEnd"/>
        <w:r w:rsidRPr="0032696D">
          <w:rPr>
            <w:rStyle w:val="Hyperlink"/>
          </w:rPr>
          <w:t>/070415/</w:t>
        </w:r>
        <w:proofErr w:type="spellStart"/>
        <w:r w:rsidRPr="0032696D">
          <w:rPr>
            <w:rStyle w:val="Hyperlink"/>
          </w:rPr>
          <w:t>reponse-ranciere</w:t>
        </w:r>
        <w:proofErr w:type="spellEnd"/>
      </w:hyperlink>
      <w:r>
        <w:rPr>
          <w:color w:val="000000"/>
        </w:rPr>
        <w:t xml:space="preserve">   </w:t>
      </w:r>
    </w:p>
  </w:footnote>
  <w:footnote w:id="17">
    <w:p w:rsidR="00CD4B34" w:rsidRDefault="00CD4B34">
      <w:pPr>
        <w:pStyle w:val="FootnoteText"/>
      </w:pPr>
      <w:r>
        <w:rPr>
          <w:rStyle w:val="FootnoteReference"/>
        </w:rPr>
        <w:footnoteRef/>
      </w:r>
      <w:r>
        <w:t xml:space="preserve"> Miller</w:t>
      </w:r>
      <w:r w:rsidRPr="00F8702E">
        <w:t>, J-A.</w:t>
      </w:r>
      <w:r w:rsidR="007145B9">
        <w:t xml:space="preserve"> “O amor pela polícia”. Disponível em: </w:t>
      </w:r>
      <w:hyperlink r:id="rId4" w:history="1">
        <w:r w:rsidR="007145B9" w:rsidRPr="0032696D">
          <w:rPr>
            <w:rStyle w:val="Hyperlink"/>
          </w:rPr>
          <w:t>http://minascomlacan.com.br/blog/por-jacques-alain-miller/</w:t>
        </w:r>
      </w:hyperlink>
      <w:r w:rsidR="007145B9">
        <w:t xml:space="preserve">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58C2"/>
    <w:multiLevelType w:val="hybridMultilevel"/>
    <w:tmpl w:val="E3164664"/>
    <w:lvl w:ilvl="0" w:tplc="E6223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05"/>
    <w:rsid w:val="00035C9B"/>
    <w:rsid w:val="00046CD0"/>
    <w:rsid w:val="00053280"/>
    <w:rsid w:val="000747EC"/>
    <w:rsid w:val="000859C6"/>
    <w:rsid w:val="00090163"/>
    <w:rsid w:val="000923C0"/>
    <w:rsid w:val="00097C6D"/>
    <w:rsid w:val="000A2B54"/>
    <w:rsid w:val="000B4287"/>
    <w:rsid w:val="000F4483"/>
    <w:rsid w:val="00103100"/>
    <w:rsid w:val="001237D5"/>
    <w:rsid w:val="00137F86"/>
    <w:rsid w:val="001605F0"/>
    <w:rsid w:val="00176827"/>
    <w:rsid w:val="00185863"/>
    <w:rsid w:val="001A06BC"/>
    <w:rsid w:val="001A7739"/>
    <w:rsid w:val="001B213D"/>
    <w:rsid w:val="001B3352"/>
    <w:rsid w:val="001C46A3"/>
    <w:rsid w:val="001D3DF9"/>
    <w:rsid w:val="001F1005"/>
    <w:rsid w:val="00202E2A"/>
    <w:rsid w:val="002532F1"/>
    <w:rsid w:val="002559D6"/>
    <w:rsid w:val="0026299D"/>
    <w:rsid w:val="002A6831"/>
    <w:rsid w:val="002A7F15"/>
    <w:rsid w:val="002C1ACC"/>
    <w:rsid w:val="002C4FCB"/>
    <w:rsid w:val="002D00CC"/>
    <w:rsid w:val="002E7882"/>
    <w:rsid w:val="002F142E"/>
    <w:rsid w:val="003057A5"/>
    <w:rsid w:val="00333CE8"/>
    <w:rsid w:val="00343A91"/>
    <w:rsid w:val="00350EE1"/>
    <w:rsid w:val="00376229"/>
    <w:rsid w:val="003A2E6E"/>
    <w:rsid w:val="003F42E5"/>
    <w:rsid w:val="0041237B"/>
    <w:rsid w:val="00417066"/>
    <w:rsid w:val="004221CA"/>
    <w:rsid w:val="00436CFA"/>
    <w:rsid w:val="004463A3"/>
    <w:rsid w:val="00451DCE"/>
    <w:rsid w:val="00457397"/>
    <w:rsid w:val="004612D9"/>
    <w:rsid w:val="00461F9A"/>
    <w:rsid w:val="0047611F"/>
    <w:rsid w:val="00477AD2"/>
    <w:rsid w:val="0049579D"/>
    <w:rsid w:val="004B7C94"/>
    <w:rsid w:val="004C2E29"/>
    <w:rsid w:val="004C6FEC"/>
    <w:rsid w:val="004D3B1B"/>
    <w:rsid w:val="00503858"/>
    <w:rsid w:val="00533629"/>
    <w:rsid w:val="00543286"/>
    <w:rsid w:val="00543ADF"/>
    <w:rsid w:val="00564251"/>
    <w:rsid w:val="00576636"/>
    <w:rsid w:val="00580371"/>
    <w:rsid w:val="005A3A1F"/>
    <w:rsid w:val="005B55DE"/>
    <w:rsid w:val="005D0562"/>
    <w:rsid w:val="005E3AD6"/>
    <w:rsid w:val="00606528"/>
    <w:rsid w:val="00615FFF"/>
    <w:rsid w:val="00631F38"/>
    <w:rsid w:val="0063518D"/>
    <w:rsid w:val="00643BF7"/>
    <w:rsid w:val="0064696A"/>
    <w:rsid w:val="00662708"/>
    <w:rsid w:val="006647B3"/>
    <w:rsid w:val="00671579"/>
    <w:rsid w:val="006729A0"/>
    <w:rsid w:val="00674395"/>
    <w:rsid w:val="00681044"/>
    <w:rsid w:val="0068111A"/>
    <w:rsid w:val="00687FBE"/>
    <w:rsid w:val="00691540"/>
    <w:rsid w:val="00695A0A"/>
    <w:rsid w:val="00697E08"/>
    <w:rsid w:val="006A0E4F"/>
    <w:rsid w:val="006B7608"/>
    <w:rsid w:val="006C3883"/>
    <w:rsid w:val="006C3DC4"/>
    <w:rsid w:val="006C6EE2"/>
    <w:rsid w:val="007145B9"/>
    <w:rsid w:val="007331A2"/>
    <w:rsid w:val="00737A4E"/>
    <w:rsid w:val="00760B6A"/>
    <w:rsid w:val="00761131"/>
    <w:rsid w:val="007964CB"/>
    <w:rsid w:val="007A2D2A"/>
    <w:rsid w:val="007A55A6"/>
    <w:rsid w:val="007A7A5A"/>
    <w:rsid w:val="007C4F1B"/>
    <w:rsid w:val="007C768A"/>
    <w:rsid w:val="007D716D"/>
    <w:rsid w:val="007F37C8"/>
    <w:rsid w:val="0080511B"/>
    <w:rsid w:val="008118B9"/>
    <w:rsid w:val="00814098"/>
    <w:rsid w:val="00816BDE"/>
    <w:rsid w:val="00840432"/>
    <w:rsid w:val="00850953"/>
    <w:rsid w:val="0086524B"/>
    <w:rsid w:val="0087156A"/>
    <w:rsid w:val="00886576"/>
    <w:rsid w:val="008A1147"/>
    <w:rsid w:val="008A60C3"/>
    <w:rsid w:val="008B4D08"/>
    <w:rsid w:val="008C6F56"/>
    <w:rsid w:val="008D1165"/>
    <w:rsid w:val="008E46CF"/>
    <w:rsid w:val="008F3687"/>
    <w:rsid w:val="00913AE2"/>
    <w:rsid w:val="0093123C"/>
    <w:rsid w:val="009572E6"/>
    <w:rsid w:val="009819BB"/>
    <w:rsid w:val="009C4A35"/>
    <w:rsid w:val="009D37F9"/>
    <w:rsid w:val="009D4B8A"/>
    <w:rsid w:val="00A10F4F"/>
    <w:rsid w:val="00A32632"/>
    <w:rsid w:val="00A42BD6"/>
    <w:rsid w:val="00A43C6D"/>
    <w:rsid w:val="00A44847"/>
    <w:rsid w:val="00A930ED"/>
    <w:rsid w:val="00AB1170"/>
    <w:rsid w:val="00AE5BE3"/>
    <w:rsid w:val="00AF43AB"/>
    <w:rsid w:val="00AF6091"/>
    <w:rsid w:val="00B03E58"/>
    <w:rsid w:val="00B055EA"/>
    <w:rsid w:val="00B0733B"/>
    <w:rsid w:val="00B30CEB"/>
    <w:rsid w:val="00B65F40"/>
    <w:rsid w:val="00B72E0F"/>
    <w:rsid w:val="00B74F40"/>
    <w:rsid w:val="00BB0903"/>
    <w:rsid w:val="00BB7D65"/>
    <w:rsid w:val="00BE6588"/>
    <w:rsid w:val="00C05FA4"/>
    <w:rsid w:val="00C345B5"/>
    <w:rsid w:val="00C50E08"/>
    <w:rsid w:val="00C73105"/>
    <w:rsid w:val="00C74E21"/>
    <w:rsid w:val="00C82382"/>
    <w:rsid w:val="00C9290E"/>
    <w:rsid w:val="00C96F1E"/>
    <w:rsid w:val="00CD4B34"/>
    <w:rsid w:val="00CD6D3D"/>
    <w:rsid w:val="00D150E2"/>
    <w:rsid w:val="00D907F0"/>
    <w:rsid w:val="00D90817"/>
    <w:rsid w:val="00D9295C"/>
    <w:rsid w:val="00D94074"/>
    <w:rsid w:val="00D94657"/>
    <w:rsid w:val="00DB2465"/>
    <w:rsid w:val="00DB363A"/>
    <w:rsid w:val="00DB79BB"/>
    <w:rsid w:val="00DD71B8"/>
    <w:rsid w:val="00DE1A4B"/>
    <w:rsid w:val="00DF3056"/>
    <w:rsid w:val="00DF4B10"/>
    <w:rsid w:val="00E05C68"/>
    <w:rsid w:val="00E318BE"/>
    <w:rsid w:val="00E34DFD"/>
    <w:rsid w:val="00E564E5"/>
    <w:rsid w:val="00E70A09"/>
    <w:rsid w:val="00E863AF"/>
    <w:rsid w:val="00E9021C"/>
    <w:rsid w:val="00E970C3"/>
    <w:rsid w:val="00EA5611"/>
    <w:rsid w:val="00EA5AA0"/>
    <w:rsid w:val="00EC33AF"/>
    <w:rsid w:val="00EC3610"/>
    <w:rsid w:val="00EC6F71"/>
    <w:rsid w:val="00EF7332"/>
    <w:rsid w:val="00F20485"/>
    <w:rsid w:val="00F549ED"/>
    <w:rsid w:val="00F8702E"/>
    <w:rsid w:val="00F94A33"/>
    <w:rsid w:val="00FA577E"/>
    <w:rsid w:val="00FD20F4"/>
    <w:rsid w:val="00FD7433"/>
    <w:rsid w:val="00FE7BC0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5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743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43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743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3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86"/>
  </w:style>
  <w:style w:type="paragraph" w:styleId="Footer">
    <w:name w:val="footer"/>
    <w:basedOn w:val="Normal"/>
    <w:link w:val="FooterChar"/>
    <w:uiPriority w:val="99"/>
    <w:unhideWhenUsed/>
    <w:rsid w:val="00543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86"/>
  </w:style>
  <w:style w:type="character" w:styleId="Hyperlink">
    <w:name w:val="Hyperlink"/>
    <w:basedOn w:val="DefaultParagraphFont"/>
    <w:uiPriority w:val="99"/>
    <w:unhideWhenUsed/>
    <w:rsid w:val="00AF43A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E6588"/>
  </w:style>
  <w:style w:type="character" w:styleId="Emphasis">
    <w:name w:val="Emphasis"/>
    <w:basedOn w:val="DefaultParagraphFont"/>
    <w:uiPriority w:val="20"/>
    <w:qFormat/>
    <w:rsid w:val="00BE6588"/>
    <w:rPr>
      <w:i/>
      <w:iCs/>
    </w:rPr>
  </w:style>
  <w:style w:type="paragraph" w:customStyle="1" w:styleId="EDCorpodeTexto">
    <w:name w:val="ED. Corpo de Texto"/>
    <w:basedOn w:val="Normal"/>
    <w:rsid w:val="00E9021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6647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577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5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743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439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7439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43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286"/>
  </w:style>
  <w:style w:type="paragraph" w:styleId="Footer">
    <w:name w:val="footer"/>
    <w:basedOn w:val="Normal"/>
    <w:link w:val="FooterChar"/>
    <w:uiPriority w:val="99"/>
    <w:unhideWhenUsed/>
    <w:rsid w:val="00543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286"/>
  </w:style>
  <w:style w:type="character" w:styleId="Hyperlink">
    <w:name w:val="Hyperlink"/>
    <w:basedOn w:val="DefaultParagraphFont"/>
    <w:uiPriority w:val="99"/>
    <w:unhideWhenUsed/>
    <w:rsid w:val="00AF43AB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E6588"/>
  </w:style>
  <w:style w:type="character" w:styleId="Emphasis">
    <w:name w:val="Emphasis"/>
    <w:basedOn w:val="DefaultParagraphFont"/>
    <w:uiPriority w:val="20"/>
    <w:qFormat/>
    <w:rsid w:val="00BE6588"/>
    <w:rPr>
      <w:i/>
      <w:iCs/>
    </w:rPr>
  </w:style>
  <w:style w:type="paragraph" w:customStyle="1" w:styleId="EDCorpodeTexto">
    <w:name w:val="ED. Corpo de Texto"/>
    <w:basedOn w:val="Normal"/>
    <w:rsid w:val="00E9021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6647B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577E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logs.mediapart.fr/blog/jam/070415/reponse-ranciere" TargetMode="External"/><Relationship Id="rId4" Type="http://schemas.openxmlformats.org/officeDocument/2006/relationships/hyperlink" Target="http://minascomlacan.com.br/blog/por-jacques-alain-miller/" TargetMode="External"/><Relationship Id="rId1" Type="http://schemas.openxmlformats.org/officeDocument/2006/relationships/hyperlink" Target="http://ampblog2006.blogspot.com.br/2014/02/lacan-cotidiano-n-371-portugues.html" TargetMode="External"/><Relationship Id="rId2" Type="http://schemas.openxmlformats.org/officeDocument/2006/relationships/hyperlink" Target="http://diretorianarede.com.br/luiz-eduardo-soares-e-sua-opiniao-sobre-a-reducao-da-maioridade-penal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5072-970B-C646-A103-AA87DA4C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2377</Words>
  <Characters>13555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Ana Lydia Santiago</cp:lastModifiedBy>
  <cp:revision>2</cp:revision>
  <dcterms:created xsi:type="dcterms:W3CDTF">2015-07-05T14:05:00Z</dcterms:created>
  <dcterms:modified xsi:type="dcterms:W3CDTF">2015-07-05T14:05:00Z</dcterms:modified>
</cp:coreProperties>
</file>