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6D" w:rsidRPr="006C4602" w:rsidRDefault="00E0066D" w:rsidP="006C4602">
      <w:pPr>
        <w:shd w:val="clear" w:color="auto" w:fill="FFFFFF"/>
        <w:spacing w:after="48" w:line="103" w:lineRule="atLeast"/>
        <w:jc w:val="center"/>
        <w:rPr>
          <w:rFonts w:ascii="Times New Roman" w:hAnsi="Times New Roman"/>
          <w:b/>
          <w:sz w:val="28"/>
          <w:szCs w:val="28"/>
          <w:lang w:val="pt-BR" w:eastAsia="es-ES"/>
        </w:rPr>
      </w:pPr>
      <w:bookmarkStart w:id="0" w:name="_GoBack"/>
      <w:bookmarkEnd w:id="0"/>
      <w:r w:rsidRPr="006C4602">
        <w:rPr>
          <w:rFonts w:ascii="Times New Roman" w:hAnsi="Times New Roman"/>
          <w:b/>
          <w:sz w:val="28"/>
          <w:szCs w:val="28"/>
          <w:lang w:val="pt-BR" w:eastAsia="es-ES"/>
        </w:rPr>
        <w:t>Mulheres em frente ao espelho;/: novas virilidades</w:t>
      </w:r>
    </w:p>
    <w:p w:rsidR="00E0066D" w:rsidRPr="000D73E4" w:rsidRDefault="00E0066D" w:rsidP="006C4602">
      <w:pPr>
        <w:shd w:val="clear" w:color="auto" w:fill="FFFFFF"/>
        <w:spacing w:after="48" w:line="103" w:lineRule="atLeast"/>
        <w:jc w:val="right"/>
        <w:rPr>
          <w:rFonts w:ascii="Times New Roman" w:hAnsi="Times New Roman"/>
          <w:lang w:val="pt-BR" w:eastAsia="es-ES"/>
        </w:rPr>
      </w:pPr>
    </w:p>
    <w:p w:rsidR="00E0066D" w:rsidRPr="000D73E4" w:rsidRDefault="00E0066D" w:rsidP="006C4602">
      <w:pPr>
        <w:shd w:val="clear" w:color="auto" w:fill="FFFFFF"/>
        <w:spacing w:after="48" w:line="103" w:lineRule="atLeast"/>
        <w:jc w:val="right"/>
        <w:rPr>
          <w:rFonts w:ascii="Times New Roman" w:hAnsi="Times New Roman"/>
          <w:lang w:val="pt-BR" w:eastAsia="es-ES"/>
        </w:rPr>
      </w:pPr>
      <w:r w:rsidRPr="000D73E4">
        <w:rPr>
          <w:rFonts w:ascii="Times New Roman" w:hAnsi="Times New Roman"/>
          <w:lang w:val="pt-BR" w:eastAsia="es-ES"/>
        </w:rPr>
        <w:t xml:space="preserve"> “A dama diante do </w:t>
      </w:r>
      <w:r w:rsidRPr="006C4602">
        <w:rPr>
          <w:rFonts w:ascii="Times New Roman" w:hAnsi="Times New Roman"/>
          <w:lang w:val="pt-BR" w:eastAsia="es-ES"/>
        </w:rPr>
        <w:t>espelho</w:t>
      </w:r>
      <w:r w:rsidRPr="000D73E4">
        <w:rPr>
          <w:rFonts w:ascii="Times New Roman" w:hAnsi="Times New Roman"/>
          <w:lang w:val="pt-BR" w:eastAsia="es-ES"/>
        </w:rPr>
        <w:t>”</w:t>
      </w:r>
    </w:p>
    <w:p w:rsidR="00E0066D" w:rsidRPr="006C4602" w:rsidRDefault="00E0066D" w:rsidP="006C4602">
      <w:pPr>
        <w:shd w:val="clear" w:color="auto" w:fill="FFFFFF"/>
        <w:spacing w:before="48" w:after="48" w:line="103" w:lineRule="atLeast"/>
        <w:jc w:val="right"/>
        <w:rPr>
          <w:rFonts w:ascii="Times New Roman" w:hAnsi="Times New Roman"/>
          <w:i/>
          <w:sz w:val="16"/>
          <w:szCs w:val="16"/>
          <w:lang w:val="en-US" w:eastAsia="es-ES"/>
        </w:rPr>
      </w:pPr>
      <w:r w:rsidRPr="006C4602">
        <w:rPr>
          <w:rFonts w:ascii="Times New Roman" w:hAnsi="Times New Roman"/>
          <w:i/>
          <w:sz w:val="16"/>
          <w:szCs w:val="16"/>
          <w:lang w:val="en-US" w:eastAsia="es-ES"/>
        </w:rPr>
        <w:t>"A mon grand ami Auguste Rodin"</w:t>
      </w:r>
    </w:p>
    <w:p w:rsidR="00E0066D" w:rsidRPr="006C4602" w:rsidRDefault="00E0066D" w:rsidP="006C4602">
      <w:pPr>
        <w:shd w:val="clear" w:color="auto" w:fill="FFFFFF"/>
        <w:spacing w:before="48" w:after="48" w:line="103" w:lineRule="atLeast"/>
        <w:jc w:val="right"/>
        <w:rPr>
          <w:rFonts w:ascii="Times New Roman" w:hAnsi="Times New Roman"/>
          <w:i/>
          <w:sz w:val="16"/>
          <w:szCs w:val="16"/>
          <w:lang w:val="en-US" w:eastAsia="es-ES"/>
        </w:rPr>
      </w:pPr>
    </w:p>
    <w:p w:rsidR="00E0066D" w:rsidRPr="000D73E4" w:rsidRDefault="00E0066D" w:rsidP="006C4602">
      <w:pPr>
        <w:shd w:val="clear" w:color="auto" w:fill="FFFFFF"/>
        <w:spacing w:after="48" w:line="103" w:lineRule="atLeast"/>
        <w:jc w:val="right"/>
        <w:rPr>
          <w:rFonts w:ascii="Times New Roman" w:hAnsi="Times New Roman"/>
          <w:sz w:val="20"/>
          <w:szCs w:val="20"/>
          <w:lang w:val="pt-BR" w:eastAsia="es-ES"/>
        </w:rPr>
      </w:pPr>
      <w:r w:rsidRPr="006C4602">
        <w:rPr>
          <w:rFonts w:ascii="Times New Roman" w:hAnsi="Times New Roman"/>
          <w:sz w:val="20"/>
          <w:szCs w:val="20"/>
          <w:lang w:val="pt-BR" w:eastAsia="es-ES"/>
        </w:rPr>
        <w:t>Como em embriagante especiaria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</w:r>
      <w:r>
        <w:rPr>
          <w:rFonts w:ascii="Times New Roman" w:hAnsi="Times New Roman"/>
          <w:sz w:val="20"/>
          <w:szCs w:val="20"/>
          <w:lang w:val="pt-BR" w:eastAsia="es-ES"/>
        </w:rPr>
        <w:t>d</w:t>
      </w:r>
      <w:r w:rsidRPr="006C4602">
        <w:rPr>
          <w:rFonts w:ascii="Times New Roman" w:hAnsi="Times New Roman"/>
          <w:sz w:val="20"/>
          <w:szCs w:val="20"/>
          <w:lang w:val="pt-BR" w:eastAsia="es-ES"/>
        </w:rPr>
        <w:t>esata sem ruído na fluidez clara</w:t>
      </w:r>
      <w:r>
        <w:rPr>
          <w:rFonts w:ascii="Times New Roman" w:hAnsi="Times New Roman"/>
          <w:sz w:val="20"/>
          <w:szCs w:val="20"/>
          <w:lang w:val="pt-BR" w:eastAsia="es-ES"/>
        </w:rPr>
        <w:br/>
        <w:t>d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t>o espelho seus fatigados gestos;</w:t>
      </w:r>
    </w:p>
    <w:p w:rsidR="00E0066D" w:rsidRPr="000D73E4" w:rsidRDefault="00E0066D" w:rsidP="006C4602">
      <w:pPr>
        <w:shd w:val="clear" w:color="auto" w:fill="FFFFFF"/>
        <w:spacing w:after="48" w:line="103" w:lineRule="atLeast"/>
        <w:jc w:val="right"/>
        <w:rPr>
          <w:rFonts w:ascii="Times New Roman" w:hAnsi="Times New Roman"/>
          <w:sz w:val="20"/>
          <w:szCs w:val="20"/>
          <w:lang w:val="pt-BR" w:eastAsia="es-ES"/>
        </w:rPr>
      </w:pPr>
      <w:r w:rsidRPr="000D73E4">
        <w:rPr>
          <w:rFonts w:ascii="Times New Roman" w:hAnsi="Times New Roman"/>
          <w:sz w:val="20"/>
          <w:szCs w:val="20"/>
          <w:lang w:val="pt-BR" w:eastAsia="es-ES"/>
        </w:rPr>
        <w:t>e introduz ali seu sorriso.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</w:r>
      <w:r w:rsidRPr="006C4602">
        <w:rPr>
          <w:rFonts w:ascii="Times New Roman" w:hAnsi="Times New Roman"/>
          <w:sz w:val="20"/>
          <w:szCs w:val="20"/>
          <w:lang w:val="pt-BR" w:eastAsia="es-ES"/>
        </w:rPr>
        <w:t>E aguarda até que de tudo isso ascenda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</w:r>
      <w:r>
        <w:rPr>
          <w:rFonts w:ascii="Times New Roman" w:hAnsi="Times New Roman"/>
          <w:sz w:val="20"/>
          <w:szCs w:val="20"/>
          <w:lang w:val="pt-BR" w:eastAsia="es-ES"/>
        </w:rPr>
        <w:t>o</w:t>
      </w:r>
      <w:r w:rsidRPr="006C4602">
        <w:rPr>
          <w:rFonts w:ascii="Times New Roman" w:hAnsi="Times New Roman"/>
          <w:sz w:val="20"/>
          <w:szCs w:val="20"/>
          <w:lang w:val="pt-BR" w:eastAsia="es-ES"/>
        </w:rPr>
        <w:t xml:space="preserve"> líquido; depois coloca o cabelo</w:t>
      </w:r>
      <w:r>
        <w:rPr>
          <w:rFonts w:ascii="Times New Roman" w:hAnsi="Times New Roman"/>
          <w:sz w:val="20"/>
          <w:szCs w:val="20"/>
          <w:lang w:val="pt-BR" w:eastAsia="es-ES"/>
        </w:rPr>
        <w:br/>
        <w:t>no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t xml:space="preserve"> espelho e, levantando os ombros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</w:r>
      <w:r w:rsidRPr="006C4602">
        <w:rPr>
          <w:rFonts w:ascii="Times New Roman" w:hAnsi="Times New Roman"/>
          <w:sz w:val="20"/>
          <w:szCs w:val="20"/>
          <w:lang w:val="pt-BR" w:eastAsia="es-ES"/>
        </w:rPr>
        <w:t>maravilhosos do traje de noite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  <w:t>bebe calada de sua imagen. Bebe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</w:r>
      <w:r w:rsidRPr="006C4602">
        <w:rPr>
          <w:rFonts w:ascii="Times New Roman" w:hAnsi="Times New Roman"/>
          <w:sz w:val="20"/>
          <w:szCs w:val="20"/>
          <w:lang w:val="pt-BR" w:eastAsia="es-ES"/>
        </w:rPr>
        <w:t>o que uma amante em êxtase bebesse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  <w:t>inquirindo desconfiada, y faz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  <w:t>uma psicadela a sua donzela, se ve luzes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  <w:t>sobre o fundo do espelho, roupeiros,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  <w:t>e o turvo de uma hora tresnoitada</w:t>
      </w:r>
      <w:r w:rsidRPr="000D73E4">
        <w:rPr>
          <w:rFonts w:ascii="Times New Roman" w:hAnsi="Times New Roman"/>
          <w:sz w:val="20"/>
          <w:szCs w:val="20"/>
          <w:lang w:val="pt-BR" w:eastAsia="es-ES"/>
        </w:rPr>
        <w:br/>
      </w:r>
    </w:p>
    <w:p w:rsidR="00E0066D" w:rsidRPr="000D73E4" w:rsidRDefault="00E0066D" w:rsidP="006C4602">
      <w:pPr>
        <w:shd w:val="clear" w:color="auto" w:fill="FFFFFF"/>
        <w:spacing w:after="48" w:line="103" w:lineRule="atLeast"/>
        <w:jc w:val="right"/>
        <w:rPr>
          <w:rFonts w:ascii="Times New Roman" w:hAnsi="Times New Roman"/>
          <w:color w:val="141823"/>
          <w:sz w:val="20"/>
          <w:szCs w:val="20"/>
          <w:lang w:val="pt-BR" w:eastAsia="es-ES"/>
        </w:rPr>
      </w:pPr>
      <w:r w:rsidRPr="000D73E4">
        <w:rPr>
          <w:rFonts w:ascii="Times New Roman" w:hAnsi="Times New Roman"/>
          <w:color w:val="141823"/>
          <w:sz w:val="20"/>
          <w:szCs w:val="20"/>
          <w:lang w:val="pt-BR" w:eastAsia="es-ES"/>
        </w:rPr>
        <w:t>Rainer María Rilke, París, 1907</w:t>
      </w:r>
    </w:p>
    <w:p w:rsidR="00E0066D" w:rsidRPr="006C4602" w:rsidRDefault="00E0066D" w:rsidP="006C4602">
      <w:pPr>
        <w:shd w:val="clear" w:color="auto" w:fill="FFFFFF"/>
        <w:spacing w:after="48" w:line="103" w:lineRule="atLeast"/>
        <w:rPr>
          <w:rFonts w:ascii="Times New Roman" w:hAnsi="Times New Roman"/>
          <w:sz w:val="24"/>
          <w:szCs w:val="24"/>
          <w:lang w:val="pt-BR" w:eastAsia="es-ES"/>
        </w:rPr>
      </w:pP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No início desta investigação, nossas conversações apontaram na direção de precisar que articulações poderíamos estabelecer entre as mulheres e as novas virilidades. O equívoco surgido a partir da pontuação da frase nos levou a termos de nos arranjar com pelo menos duas possibilidades: 1- as novas virilidades como um modo de ser das mulheres contemporâneas, no qual o viril adquire, ao nível do semblante, uma consistência superlativa. É no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19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que Lacan afirma que o verdadeiramente viril está do lado da mulher; 2- as novas virilidades como modo de resposta, do lado masculino, às mudanças produzidas na posição das mulheres. Para avançar exploramos como se posicionam hoje as mulheres a respeito do amor, do desejo e do gozo, tentando extrair consequências disso.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Em nosso percurso, nos orientamos a partir da exploração de dois eixos fundamentais na clínica: o narcisismo e a função do semblante.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</w:p>
    <w:p w:rsidR="00E0066D" w:rsidRPr="000D73E4" w:rsidRDefault="00E0066D" w:rsidP="006C46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es-ES"/>
        </w:rPr>
      </w:pPr>
      <w:r w:rsidRPr="000D73E4">
        <w:rPr>
          <w:rFonts w:ascii="Times New Roman" w:hAnsi="Times New Roman"/>
          <w:b/>
          <w:sz w:val="24"/>
          <w:szCs w:val="24"/>
          <w:lang w:val="pt-BR" w:eastAsia="es-ES"/>
        </w:rPr>
        <w:t xml:space="preserve">I.- O corpo do </w:t>
      </w:r>
      <w:r w:rsidRPr="006C4602">
        <w:rPr>
          <w:rFonts w:ascii="Times New Roman" w:hAnsi="Times New Roman"/>
          <w:b/>
          <w:sz w:val="24"/>
          <w:szCs w:val="24"/>
          <w:lang w:val="pt-BR" w:eastAsia="es-ES"/>
        </w:rPr>
        <w:t>estádio</w:t>
      </w:r>
      <w:r w:rsidRPr="000D73E4">
        <w:rPr>
          <w:rFonts w:ascii="Times New Roman" w:hAnsi="Times New Roman"/>
          <w:b/>
          <w:sz w:val="24"/>
          <w:szCs w:val="24"/>
          <w:lang w:val="pt-BR" w:eastAsia="es-ES"/>
        </w:rPr>
        <w:t xml:space="preserve"> do espelho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Começamos nossa investigação seguindo os desenvolvimentos sucessivos de Lacan sobre o estádio do espelho, como um momento estruturante da constituição subjetiva. A “assunção” da imagem de si (imagem narcisista) que deixa como saldo uma identificação, é índice da operação de amarração entre os três registros, amarração que possibilita ao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parlêtre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contar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lastRenderedPageBreak/>
        <w:t xml:space="preserve">com um corpo que se sustente, que não se </w:t>
      </w:r>
      <w:r w:rsidRPr="006C4602">
        <w:rPr>
          <w:rFonts w:ascii="Times New Roman" w:hAnsi="Times New Roman"/>
          <w:color w:val="000000"/>
          <w:sz w:val="24"/>
          <w:szCs w:val="24"/>
          <w:lang w:val="pt-BR" w:eastAsia="es-ES"/>
        </w:rPr>
        <w:t xml:space="preserve">vá.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A perda de gozo que se produz aí, lida como castração, é condição para que a imagem possa dar ao corpo fragmentado uma unidade.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Se trata de um momento paradoxal porquanto é através dessa assunção imaginária que o sujeito fica alienado no Outro. A partir desse momento, a imagem que o representa (imagem significantizada) o incluirá em um laço como Outro que, por um lado, lhe permitirá reconhecer-se como um a mais da série, nas vias da identificação, entretanto ao mesmo tempo, o afastará deste laço, nos indicando aquilo que não entra no espelho e que constituirá o suporte da sua singularidade. 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Serão os avatares desse momento estruturante que veremos desdobrarem-se mais adiante na história de cada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parlêtre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, diante dos acontecimentos contingentes de sua existência, nos quais se manifesta o falido de cada amarração produzida.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b/>
          <w:sz w:val="24"/>
          <w:szCs w:val="24"/>
          <w:lang w:val="pt-BR" w:eastAsia="es-ES"/>
        </w:rPr>
        <w:t>II.-Sobre o narcisismo na mulher.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Para entrarmos no tema, partimos do fato de que não há simetria entre homens e mulheres a respeito da imagem. Segundo Freud, o apego que as mulheres manifestam pela própria imagem dá conta do valor fálico que adquire para elas a imagem do corpo como suplência de seu não ter. Ao ponto que poderíamos afirmar que a mulher e o espelho formam um par, fato que não se concebe do mesmo modo do lado masculino. Podemos derivar dessa premissa a afirmação de que as mulheres são mais narcísicas que os homens? Lacan rechaça a ficção deste narcisismo suposto feminino, mostrando que não possui nada de primário, ao introduzir o conceito de narcisismo do desejo</w:t>
      </w:r>
      <w:r>
        <w:rPr>
          <w:rStyle w:val="EndnoteReference"/>
          <w:rFonts w:ascii="Times New Roman" w:hAnsi="Times New Roman"/>
          <w:sz w:val="24"/>
          <w:szCs w:val="24"/>
          <w:lang w:val="pt-BR" w:eastAsia="es-ES"/>
        </w:rPr>
        <w:endnoteReference w:id="1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. Eric Laurent precisa esta questão. Disse Laurent: “O particular da posição feminina é mais bem o narcisismo do desejo, que poderíamos entender como amor ao desejo, ou ainda, como uma forma do desejo de desejo, que vem marcar a saída feminina no lugar do falo”.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2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Considera que este amor da falta que se manifesta na mulher constitui um narcisismo paradoxal, porque “o sujeito (feminino) se aferra ao narcisismo do Eu de maneira secundaria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3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”. Vale dizer que para a mulher o que está em primeiro plano é o desejo do Outro, sua falta. Laurent afirma que sob “essa imago da mulher narcisista, (...), se esconde, se oculta, uma relação especial com a falta, em que as mulheres podem amar apaixonadamente o nada”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4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, via que conduz a pensar o gozo da privação, antecedente no ensino de Lacan do gozo feminino. Enquanto no homem há a conjunção do gozo e da satisfação narcísica, o gozo feminino excede a mulher,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lastRenderedPageBreak/>
        <w:t>não a identifica, sustentará Lacan.  Ela se esforça, então, em identificar-se através do amor de um homem, via o desejo de um homem. Isso é o narcisismo do desejo.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Quanto ao amor, Lacan disse que para as mulheres surge no lugar do que não há, ou seja, como suplência do vazio. Por isso, a perda de amor é vivida por elas como ameaça de castração.</w:t>
      </w:r>
    </w:p>
    <w:p w:rsidR="00E0066D" w:rsidRPr="000D73E4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b/>
          <w:sz w:val="24"/>
          <w:szCs w:val="24"/>
          <w:lang w:val="pt-BR" w:eastAsia="es-ES"/>
        </w:rPr>
        <w:t>III. – Da identificação viril como condição para ter um corpo.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Em “Intervenção sobre a transferência”, Lacan concebe à histeria como uma falta de identificação narcisista, uma sorte de estádio do espelho inacabado. Por não poder realizar uma assunção de seu próprio corpo – dirá Lacan – a histérica “permanece aberta à fragmentação funcional que constitui os sintomas de conversão”.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5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Ou seja, no registro do corpo, as manifestações histéricas se ordenam em torno do fato de ficar enfrentada à hiância da impossibilidade de ter um corpo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6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.  Miller assinala que ao não poder tomar corpo a partir da imagem de si, deve buscar na realidade outro capaz de dar-lhe corpo. Nesse vetor que a dirige em direção à outra mulher, a histérica necessita fazer um rodeio pelo outro imaginário, o qual sustenta seu Eu, porém sem poder gozar disso. Vale dizer que a falta de identificação narcisística não se remedia. Há um desejo em jogo – disse Miller – que é o deste outro masculino. Um desejo em jogo, mas equivocado.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7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Recordemos que a essa altura Lacan pensa uma falta de identificação como correlativa a uma falta de gozo, pois este está situado no registro imaginário.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Posteriormente, em “De uma questão preliminar...”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8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, fará intervir o conceito de falo imaginário no estádio do espelho para pensar a falta de identificação na psicose. Com a introdução do falo poderá abordar a problemática da diferença sexual em relação à imagem e desenvolver uma clínica do falo. Tal como a esboça em seu texto “A significação do falo”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9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, essa clínica se ordenará retomando o que até ali era identificação imaginária, narcisista, como identificação fálica. A sexuação será concebida em termos de ser ou ter o falo.  Até aqui não se concebe outro gozo que o fálico, todavia Lacan já se pergunta nessa época “se a mediação fálica é capaz de drenar todo o pulsional na mulher”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0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, ponto em que será necessário a Lacan contar com a categoria do objeto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 xml:space="preserve"> a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. 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pt-BR" w:eastAsia="es-ES"/>
        </w:rPr>
      </w:pP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pt-BR" w:eastAsia="es-ES"/>
        </w:rPr>
      </w:pP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b/>
          <w:sz w:val="24"/>
          <w:szCs w:val="24"/>
          <w:lang w:val="pt-BR" w:eastAsia="es-ES"/>
        </w:rPr>
        <w:lastRenderedPageBreak/>
        <w:t>IV.- A consistência do imaginário corporal: do reino do pai ao império das imagens.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Como observa F. Vitale em seu texto publicado na página do VII ENAPOL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1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, “... em nossa clínica encontramos uma dificuldade crescente na amarração do imaginário corporal”. Entendemos isso como a afirmação de um fato clínico: algo mudou em relação ao modo em que as mulheres armam seu corpo.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A hipótese clássica desenvolvida por Lacan é a de que as mulheres armam seu corpo pela via da identificação ao falo, que supõe o amor ao pai. Nesta perspectiva, se situa a possibilidade de contar com uma mascarada, um semblante, como véu da castração.  Essa função, fundamental no jogo amoroso, permite a uma mulher encarnar um objeto de desejo para o homem, protegendo-se de ficar exposta como objeto de gozo. Não obstante sua função, Eric Laurent assinala que essa organização do sintoma histérico em torno do amor ao pai é o que mantem o seu corpo sempre a ponto de se desfazer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2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No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24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, a partir de uma perspectiva nodal, Lacan reformula topologicamente a função da passagem pelo pai para a armação do corpo na histeria. A armadura do amor ao pai é ali 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sinthoma,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o quarto que amarra os registros. Entretanto nesses anos também introduz pistas a respeito de outras possibilidades de amarração sem o pai, seja porque a função do desejo da mãe venha substituir a função do pai (“o nomear para”, do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21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), ou porque, simplesmente, se prescinde dessa passagem. As investigações sobre a denominada histeria rígida que Lacan menciona no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23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introduz essa perspectiva que prescinde do amor ao pai como resposta frente ao traumático do gozo. Trata-se de sujeitos que se viram sozinhos diante do encontro com o gozo, inventando suas próprias respostas, nas quais o real do sintoma não se apresenta envolvido na prótese do sentido fálico, como nas histéricas tradicionais. Esses sujeitos parecem saber de antemão que o pai não irá responder ao seu chamado e por isso nem sequer tentam. São elas que denunciam a inoperância do pai na atualidade, confirmando que nos encontramos fora do reino do pai para tratar o gozo.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Nesses casos, que não se servem do pai como nome capaz de responder ao mudo do gozo fálico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3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, encontramos um imaginário corporal com muitas dificuldades para a armação da mascarada, casos que chegam inclusive até a impossibilidade da constituição de identificações fálicas propriamente ditas. São subjetividades que não alcançam uma posição sexuada – seja a nível de ser o falo ou de tê-lo – para enfrentar o encontro sexual.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lastRenderedPageBreak/>
        <w:t>Entretanto – sob condição de não pensá-las a partir de uma perspectiva deficitária, nos encontramos com outros tipos de saídas diante dos impasses da sexuação e dos laços sociais, que põem em primeiro plano o acontecimento de corpo e a ausência de relação sexual.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</w:p>
    <w:p w:rsidR="00E0066D" w:rsidRPr="000D73E4" w:rsidRDefault="00E0066D" w:rsidP="006C46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es-ES"/>
        </w:rPr>
      </w:pPr>
      <w:r w:rsidRPr="000D73E4">
        <w:rPr>
          <w:rFonts w:ascii="Times New Roman" w:hAnsi="Times New Roman"/>
          <w:b/>
          <w:sz w:val="24"/>
          <w:szCs w:val="24"/>
          <w:lang w:val="pt-BR" w:eastAsia="es-ES"/>
        </w:rPr>
        <w:t>V- Perspectivas a investigar.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Tentar explorar como se constitui o corpo para uma mulher foi a bússola que orientou o nosso trabalho. Consideramos que o sintagma “Mulheres diante do espelho; novas virilidades” nos abriu perspectivas diferentes de investigação a respeito da relação existente entre a reformulação da prática, à luz do último ensino de Lacan, e das reconfigurações da clínica, tal como esta se apresenta na atualidade. Sem chegar a explorar todas, registramos aqui algumas delas.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1- Em primeiro lugar, a perspectiva de uma leitura renovada do estádio do espelho, para tratar de localizar como funciona o narcisismo a partir das mudanças operados na estrutura do Outro e, portanto, em sua função. Quanto a este ponto, M-H Brousse nos orienta. Ela sustenta que a ciência mudou a relação que temos com nosso corpo como imagem global e como organismo desconhecido. E nos propõe a pensar essa mudança considerando que, por meio da ciência, o Eu ideal irá substituindo mais e mais o Ideal do Eu. O Eu ideal passa, dessa forma, a funcionar como imagem do corpo um pouco cortada do Outro da palavra.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4"/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A partir dessa hipótese de leitura, nos perguntamos: Como se produz então a articulação entre a imagem e o corpo, quando a função da linguagem, que Lacan situa no esquema ótico como a que produz a ilusão de véu, permitindo alojar o gozo na imagem, já não está tão evidente? Talvez o sintagma “mulheres diante do espelho” tenta nomear a busca de identidade de um sujeito diretamente por meio da imagem, na via do Eu ideal e sem a distância que possibilita o ideal do Eu como lugar a partir do qual se olha? É possível apreciar essa falta de distância em alguns testemunhos da clínica, em relação com uma prática frequente entre os adolescentes que consiste em tirar autofotos, chamadas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selfies,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nas quais são colocadas na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web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, como testemunhos da fascinação produzida pela imagem em direção do estabelecimento de uma identidade. </w:t>
      </w:r>
      <w:r w:rsidRPr="006C4602">
        <w:rPr>
          <w:rFonts w:ascii="Times New Roman" w:hAnsi="Times New Roman"/>
          <w:b/>
          <w:sz w:val="24"/>
          <w:szCs w:val="24"/>
          <w:lang w:val="pt-BR" w:eastAsia="es-ES"/>
        </w:rPr>
        <w:t xml:space="preserve">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À diferença da identificação simbólica, que se apoia em um traço e permite a mobilidade, esse procedimento aponta à construção de uma identidade fixa a partir de uma incessante repetição que busca capturar a imagem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lastRenderedPageBreak/>
        <w:t>perfeita, tentando anular toda hiância na representação especular. Uma forma a mais de renegação do real? “É como</w:t>
      </w:r>
      <w:r w:rsidRPr="006C4602">
        <w:rPr>
          <w:rFonts w:ascii="Times New Roman" w:hAnsi="Times New Roman"/>
          <w:b/>
          <w:sz w:val="24"/>
          <w:szCs w:val="24"/>
          <w:lang w:val="pt-BR" w:eastAsia="es-ES"/>
        </w:rPr>
        <w:t xml:space="preserve"> se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olhar no espelho todo o tempo”, disse uma adolescente, testemunhando sobre a mudança de estatuto da imagem, que para além de funcionar como tela, véu diante do que não se pode ver, parece revelar o achatamento ao qual está submetida uma subjetividade que não pôde constituir eficazmente uma distância operativa frente à própria imagem, reduzindo-se a pura imagem. É aqui que o analista é convocado a reestabelecer a esquize entre o campo escópico e o campo da visão, para poder dar lugar, nessa hiância, ao gozo em jogo, capaz de devolver ao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 xml:space="preserve">parlêtre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o relevo perdido de sua singularidade. Apontando no sentido inverso à lógica especular da boa forma sobre a qual se assenta o anseio da civilização tecno-científica, a operação analítica confronta o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 xml:space="preserve"> parlêtre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com o que não tem conserto, para dar lugar assim às soluções de cada um.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2- Outra perspectiva que nos interrogou, partiu de uma citação de Lacan sobre o semblante, no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18.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Lacan afirma que nas relações entre o homem e a mulher estamos localizados de entrada na dimensão do semblante, que o comportamento sexual humano se diferencia do animal no fato de que o semblante humano se veicula em um discurso e que apenas nesse nível de discurso (dito comportamento)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é levado na direção de um efeito que não seria de semblante.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Exemplifica o fato de que, a diferença da excelente cortesia animal, ocorre que os homens violam as mulheres ou ao inverso. Lacan assinala que nos limites do discurso, ou seja, do semblante</w:t>
      </w:r>
      <w:r w:rsidRPr="006C4602">
        <w:rPr>
          <w:rFonts w:ascii="Times New Roman" w:hAnsi="Times New Roman"/>
          <w:color w:val="000000"/>
          <w:sz w:val="24"/>
          <w:szCs w:val="24"/>
          <w:lang w:val="pt-BR" w:eastAsia="es-ES"/>
        </w:rPr>
        <w:t xml:space="preserve">, há de tempos em tempos o real.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E chama isso de passagem ao ato.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5"/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Nesta perspectiva, tentamos pensar as diversas manifestações sintomáticas da clínica contemporânea nas coordenadas do que seria uma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clínica do espelho por fora do semblante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, vale dizer, a partir da entrada em ato, sem véu, da falha mesma do espelho. Desse modo, as intervenções no corpo, os cortes, as operações, assim como a busca incessante de uma satisfação corporal sem mediação do amor, podem ser concebidas como modalidades de tratamento do gozo que não passam pelo semblante, que ignoram a consistência de um corpo organizado pela mirada do Outro, para elevá-lo à condição de objeto de gozo, fetiche generalizado, verificando assim a existência desse efeito que chamamos, com Lacan, passagem ao real.  Temos assim que as histéricas do século XXI já não necessitam mais do homem para se aproximarem do feminino. M-H Brousse assinala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6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que em vez do rodeio pela identificação viril, que implicava o sustento do pai impotente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lastRenderedPageBreak/>
        <w:t>como paradigma histérico por excelência na época de Freud, nos encontramos hoje com uma progressão de atuações homossexuais na histeria, que respondem mais a essa perspectiva que estudamos de uma clínica do espelho por fora do semblante.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3- O último ponto se relaciona com localizar a singularidade das novas respostas que os sujeitos inventam sozinhos, mais próximos do furo do S (A) barrado, no lugar mesmo que antes imperava o ideal como semblante capaz de ordenar o campo da experiência subjetiva. Como se ordenam hoje as subjetividades que não buscam essa referência para responder pelo traumatismo do gozo? Qual é a aposta da psicanálise diante dessas subjetividades marcadas pelos rastros da declinação do Nome-do-pai, que deve navegar em um mundo povoado de imagens que não chegam a localizar o gozo, nem servem como referências estáveis para se construir um corpo?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Uma indicação de F. Vitale nos colocou no caminho desta pergunta: “Diante disso ganha importância não esquecer que ao final de seu ensino Lacan interroga de maneira renovada o registro do imaginário propondo que diante do sem limite do empuxo ao gozo que habita em cada um, o único real não é dado pelo Nome-do-Pai, e sim a maneira pela qual cada corpo encontra para manter amarradas as três consistências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7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”. 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Para abordar essa perspectiva, nos foi necessário estabelecer a diferença entre esse corpo que o pai permite armar e o corpo que uma análise possibilitaria construir. No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23,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Lacan toma o exemplo de Joyce para nos indicar a via de constituição de um corpo que contém um tipo especial de narcisismo distinto do especular. Neste seminário, Lacan parecia nos indicar que o amor ao próprio corpo se erige, em um nível anterior à constituição do narcisismo especular, como suporte da armação de um corpo.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8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Trata-se do amor ao próprio corpo, não do amor à imagem. Nesta perspectiva – que certamente será explorada no próximo Congresso da AMP 2016 – a consistência do corpo teria a ver com a possibilidade de produzir uma amarração entre os registros a partir do amor ao próprio corpo, que implica pertença, propriedade e não identificação.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Interrogados sobre o que seria este “amor próprio”, encontramos em Lacan, no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da Angústia,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a indicação de que não todo o investimento libidinal narcisista é transferido ao objeto como imagem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19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.  Essa parte que não entra no imaginário especular – disse Lacan – permanece a nível do corpo próprio como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reserva operatória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. Localiza ali esse resto que funciona impedindo que 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 xml:space="preserve">parlêtre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fique capturado pela imagem, pois possibilita que o que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lastRenderedPageBreak/>
        <w:t>se recorta se converta em referência e suporte da função da causa. À</w:t>
      </w:r>
      <w:r w:rsidRPr="006C4602">
        <w:rPr>
          <w:rFonts w:ascii="Times New Roman" w:hAnsi="Times New Roman"/>
          <w:b/>
          <w:sz w:val="24"/>
          <w:szCs w:val="24"/>
          <w:lang w:val="pt-BR" w:eastAsia="es-ES"/>
        </w:rPr>
        <w:t xml:space="preserve">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luz do último ensino, esse conceito de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reserva operatória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nos interrogou de uma maneira nova. Como situar o próprio corpo, neste momento do ensino, já que não é ainda pelas marcas das experiências de gozo que conduzem Lacan a conceber 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sinthome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, mas somente podendo localizá-las em relação ao objeto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a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? Podemos afirmar, então, que a altura do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10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, este investimento libidinal que não passa pelo espelho e se localiza no objeto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 xml:space="preserve">a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é o que dará suporte à ideia do outro narcisismo que Lacan trabalha no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Seminário 23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, sustentado não pela imagem especular e sim pelo amor a Um-corpo? Em todo esse trajeto, foi mudando para Lacan a forma de conceber o corpo. O modelo do corpo já não é a esfera e sim o Toro, no qual a partir dos furos se constitui uma estrutura topológica diferente, que conduz também a uma nova concepção de imaginário.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  <w:r w:rsidRPr="006C4602">
        <w:rPr>
          <w:rFonts w:ascii="Times New Roman" w:hAnsi="Times New Roman"/>
          <w:sz w:val="24"/>
          <w:szCs w:val="24"/>
          <w:lang w:val="pt-BR" w:eastAsia="es-ES"/>
        </w:rPr>
        <w:t>“Este novo corpo invólucro (tórico) destrona, por assim dizer, a referência e o modelo que representava a imagem especular, em épocas precedentes do ensino (de Lacan)</w:t>
      </w:r>
      <w:r w:rsidRPr="006C4602">
        <w:rPr>
          <w:rFonts w:ascii="Times New Roman" w:hAnsi="Times New Roman"/>
          <w:sz w:val="24"/>
          <w:szCs w:val="24"/>
          <w:vertAlign w:val="superscript"/>
          <w:lang w:val="pt-BR" w:eastAsia="es-ES"/>
        </w:rPr>
        <w:endnoteReference w:id="20"/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” e nos convida a trabalhar, em cada análise, em direção à localização daquelas imagens que não são derivadas do espelho e sim oriundas da história singular do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parlêtre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, restos das análises produzidos a partir das marcas que foram deixando as experiências de gozo singulares, traços com os quais cada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 xml:space="preserve"> parlêtre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deverá saber fazer para construir seu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>sinthome.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 xml:space="preserve"> Desse modo, ao final da análise, fixar-se no próprio sintoma, fazer-se com o sintoma que cada um é, terá como resultado outra consistência para o </w:t>
      </w:r>
      <w:r w:rsidRPr="006C4602">
        <w:rPr>
          <w:rFonts w:ascii="Times New Roman" w:hAnsi="Times New Roman"/>
          <w:i/>
          <w:sz w:val="24"/>
          <w:szCs w:val="24"/>
          <w:lang w:val="pt-BR" w:eastAsia="es-ES"/>
        </w:rPr>
        <w:t xml:space="preserve">parlêtre, </w:t>
      </w:r>
      <w:r w:rsidRPr="006C4602">
        <w:rPr>
          <w:rFonts w:ascii="Times New Roman" w:hAnsi="Times New Roman"/>
          <w:sz w:val="24"/>
          <w:szCs w:val="24"/>
          <w:lang w:val="pt-BR" w:eastAsia="es-ES"/>
        </w:rPr>
        <w:t>uma consistência real.</w:t>
      </w:r>
    </w:p>
    <w:p w:rsidR="00E0066D" w:rsidRDefault="00E0066D" w:rsidP="006C4602">
      <w:pPr>
        <w:spacing w:line="360" w:lineRule="auto"/>
        <w:jc w:val="right"/>
        <w:rPr>
          <w:rFonts w:ascii="Times New Roman" w:hAnsi="Times New Roman"/>
          <w:sz w:val="24"/>
          <w:szCs w:val="24"/>
          <w:lang w:val="pt-BR"/>
        </w:rPr>
      </w:pPr>
    </w:p>
    <w:p w:rsidR="00E0066D" w:rsidRPr="00E3229F" w:rsidRDefault="00E0066D" w:rsidP="006C4602">
      <w:pPr>
        <w:spacing w:line="360" w:lineRule="auto"/>
        <w:jc w:val="right"/>
        <w:rPr>
          <w:rFonts w:ascii="Times New Roman" w:hAnsi="Times New Roman"/>
          <w:sz w:val="24"/>
          <w:szCs w:val="24"/>
          <w:lang w:val="es-ES"/>
        </w:rPr>
      </w:pPr>
      <w:r w:rsidRPr="00E3229F">
        <w:rPr>
          <w:rFonts w:ascii="Times New Roman" w:hAnsi="Times New Roman"/>
          <w:sz w:val="24"/>
          <w:szCs w:val="24"/>
          <w:lang w:val="es-ES"/>
        </w:rPr>
        <w:t>Paula Vallejo</w:t>
      </w:r>
    </w:p>
    <w:p w:rsidR="00E0066D" w:rsidRDefault="00E0066D" w:rsidP="00E3229F">
      <w:pPr>
        <w:spacing w:line="360" w:lineRule="auto"/>
        <w:jc w:val="both"/>
        <w:rPr>
          <w:rFonts w:ascii="Times New Roman" w:hAnsi="Times New Roman"/>
          <w:i/>
          <w:lang w:val="es-ES"/>
        </w:rPr>
      </w:pPr>
    </w:p>
    <w:p w:rsidR="00E0066D" w:rsidRPr="00E3229F" w:rsidRDefault="00E0066D" w:rsidP="00E3229F">
      <w:pPr>
        <w:spacing w:line="360" w:lineRule="auto"/>
        <w:jc w:val="both"/>
        <w:rPr>
          <w:rFonts w:ascii="Times New Roman" w:hAnsi="Times New Roman"/>
          <w:i/>
          <w:lang w:val="es-ES"/>
        </w:rPr>
      </w:pPr>
      <w:r w:rsidRPr="00E3229F">
        <w:rPr>
          <w:rFonts w:ascii="Times New Roman" w:hAnsi="Times New Roman"/>
          <w:i/>
          <w:lang w:val="es-ES"/>
        </w:rPr>
        <w:t>Tradu</w:t>
      </w:r>
      <w:r w:rsidRPr="00E3229F">
        <w:rPr>
          <w:rFonts w:ascii="Times New Roman" w:hAnsi="Times New Roman"/>
          <w:i/>
          <w:sz w:val="24"/>
          <w:szCs w:val="24"/>
          <w:lang w:val="pt-BR" w:eastAsia="es-ES"/>
        </w:rPr>
        <w:t>ção</w:t>
      </w:r>
      <w:r w:rsidRPr="00E3229F">
        <w:rPr>
          <w:rFonts w:ascii="Times New Roman" w:hAnsi="Times New Roman"/>
          <w:i/>
          <w:lang w:val="es-ES"/>
        </w:rPr>
        <w:t>: Silvina Molina</w:t>
      </w:r>
    </w:p>
    <w:p w:rsidR="00E0066D" w:rsidRPr="006C4602" w:rsidRDefault="00E0066D" w:rsidP="006C4602">
      <w:pPr>
        <w:rPr>
          <w:rFonts w:ascii="Times New Roman" w:hAnsi="Times New Roman"/>
          <w:sz w:val="24"/>
          <w:szCs w:val="24"/>
          <w:lang w:val="pt-BR"/>
        </w:rPr>
      </w:pPr>
      <w:r w:rsidRPr="006C4602">
        <w:rPr>
          <w:rFonts w:ascii="Times New Roman" w:hAnsi="Times New Roman"/>
          <w:sz w:val="24"/>
          <w:szCs w:val="24"/>
          <w:lang w:val="pt-BR"/>
        </w:rPr>
        <w:t>Integrantes do grupo “Mulheres diante do espelho; novas virilidades”:</w:t>
      </w:r>
    </w:p>
    <w:p w:rsidR="00E0066D" w:rsidRPr="000D73E4" w:rsidRDefault="00E0066D" w:rsidP="006C4602">
      <w:pPr>
        <w:rPr>
          <w:rFonts w:ascii="Times New Roman" w:hAnsi="Times New Roman"/>
          <w:sz w:val="24"/>
          <w:szCs w:val="24"/>
          <w:lang w:val="pt-BR"/>
        </w:rPr>
      </w:pPr>
      <w:r w:rsidRPr="000D73E4">
        <w:rPr>
          <w:rFonts w:ascii="Times New Roman" w:hAnsi="Times New Roman"/>
          <w:sz w:val="24"/>
          <w:szCs w:val="24"/>
          <w:lang w:val="pt-BR"/>
        </w:rPr>
        <w:t>Laura Arroyo, Mónica Boada, Camilo Cazalla, Verónica Escudero, Adriana Etchegoin, Cecilia Fasano, Marisol Gutierrez, Paula Lagunas, Laura Petrosino.</w:t>
      </w:r>
    </w:p>
    <w:p w:rsidR="00E0066D" w:rsidRPr="006C4602" w:rsidRDefault="00E0066D" w:rsidP="006C46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es-ES"/>
        </w:rPr>
      </w:pPr>
    </w:p>
    <w:p w:rsidR="00E0066D" w:rsidRDefault="00E0066D" w:rsidP="006C460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pt-BR" w:eastAsia="es-ES"/>
        </w:rPr>
      </w:pPr>
    </w:p>
    <w:p w:rsidR="00E0066D" w:rsidRDefault="00E0066D"/>
    <w:sectPr w:rsidR="00E0066D" w:rsidSect="00C7378B"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6D" w:rsidRDefault="00E0066D" w:rsidP="006C4602">
      <w:pPr>
        <w:spacing w:after="0" w:line="240" w:lineRule="auto"/>
      </w:pPr>
      <w:r>
        <w:separator/>
      </w:r>
    </w:p>
  </w:endnote>
  <w:endnote w:type="continuationSeparator" w:id="0">
    <w:p w:rsidR="00E0066D" w:rsidRDefault="00E0066D" w:rsidP="006C4602">
      <w:pPr>
        <w:spacing w:after="0" w:line="240" w:lineRule="auto"/>
      </w:pPr>
      <w:r>
        <w:continuationSeparator/>
      </w:r>
    </w:p>
  </w:endnote>
  <w:endnote w:id="1">
    <w:p w:rsidR="00E0066D" w:rsidRDefault="00E0066D" w:rsidP="00BF2EF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lang w:val="es-AR"/>
        </w:rPr>
        <w:t xml:space="preserve">Lacan, Jacques. “Ideas directivas para un congreso sobre sexualidad femenina”. En: </w:t>
      </w:r>
      <w:r w:rsidRPr="004E263F">
        <w:rPr>
          <w:i/>
          <w:lang w:val="es-AR"/>
        </w:rPr>
        <w:t>Escritos 2</w:t>
      </w:r>
      <w:r>
        <w:rPr>
          <w:lang w:val="es-AR"/>
        </w:rPr>
        <w:t>, Siglo XXI, Paidós, Buenos Aires, p. 712</w:t>
      </w:r>
    </w:p>
    <w:p w:rsidR="00E0066D" w:rsidRDefault="00E0066D" w:rsidP="00BF2EF9">
      <w:pPr>
        <w:pStyle w:val="EndnoteText"/>
      </w:pPr>
    </w:p>
  </w:endnote>
  <w:endnote w:id="2">
    <w:p w:rsidR="00E0066D" w:rsidRDefault="00E0066D" w:rsidP="006C4602">
      <w:pPr>
        <w:pStyle w:val="EndnoteText"/>
      </w:pPr>
    </w:p>
  </w:endnote>
  <w:endnote w:id="3">
    <w:p w:rsidR="00E0066D" w:rsidRDefault="00E0066D" w:rsidP="00C23AEB">
      <w:pPr>
        <w:pStyle w:val="EndnoteText"/>
      </w:pPr>
      <w:r>
        <w:rPr>
          <w:rStyle w:val="EndnoteReference"/>
        </w:rPr>
        <w:t>2</w:t>
      </w:r>
      <w:r>
        <w:t xml:space="preserve"> </w:t>
      </w:r>
      <w:r>
        <w:rPr>
          <w:lang w:val="es-AR"/>
        </w:rPr>
        <w:t xml:space="preserve">Laurent, Eric. </w:t>
      </w:r>
      <w:r>
        <w:rPr>
          <w:i/>
          <w:lang w:val="es-AR"/>
        </w:rPr>
        <w:t>Posiciones femeninas del ser.</w:t>
      </w:r>
      <w:r>
        <w:rPr>
          <w:lang w:val="es-AR"/>
        </w:rPr>
        <w:t xml:space="preserve"> Tres Haches, Buenos Aires, 1999, p. 112.</w:t>
      </w:r>
    </w:p>
    <w:p w:rsidR="00E0066D" w:rsidRDefault="00E0066D" w:rsidP="00C23AEB">
      <w:pPr>
        <w:pStyle w:val="EndnoteText"/>
      </w:pPr>
      <w:r>
        <w:rPr>
          <w:rStyle w:val="EndnoteReference"/>
        </w:rPr>
        <w:t>3</w:t>
      </w:r>
      <w:r>
        <w:t xml:space="preserve"> </w:t>
      </w:r>
      <w:r w:rsidRPr="00BC1D83">
        <w:rPr>
          <w:i/>
          <w:lang w:val="es-AR"/>
        </w:rPr>
        <w:t>Ibid</w:t>
      </w:r>
    </w:p>
    <w:p w:rsidR="00E0066D" w:rsidRDefault="00E0066D" w:rsidP="00C23AEB">
      <w:pPr>
        <w:pStyle w:val="EndnoteText"/>
      </w:pPr>
      <w:r>
        <w:rPr>
          <w:rStyle w:val="EndnoteReference"/>
        </w:rPr>
        <w:t>4</w:t>
      </w:r>
      <w:r>
        <w:t xml:space="preserve"> </w:t>
      </w:r>
      <w:r>
        <w:rPr>
          <w:i/>
          <w:lang w:val="es-AR"/>
        </w:rPr>
        <w:t>Ibid.</w:t>
      </w:r>
    </w:p>
    <w:p w:rsidR="00E0066D" w:rsidRDefault="00E0066D" w:rsidP="00C23AEB">
      <w:pPr>
        <w:pStyle w:val="EndnoteText"/>
      </w:pPr>
      <w:r>
        <w:rPr>
          <w:rStyle w:val="EndnoteReference"/>
        </w:rPr>
        <w:t>5</w:t>
      </w:r>
      <w:r>
        <w:t xml:space="preserve"> </w:t>
      </w:r>
      <w:r>
        <w:rPr>
          <w:lang w:val="es-AR"/>
        </w:rPr>
        <w:t xml:space="preserve">Lacan, Jacques. “Intervención sobre la transferencia”. En: </w:t>
      </w:r>
      <w:r>
        <w:rPr>
          <w:i/>
          <w:lang w:val="es-AR"/>
        </w:rPr>
        <w:t xml:space="preserve">Escritos 1, </w:t>
      </w:r>
      <w:r>
        <w:rPr>
          <w:lang w:val="es-AR"/>
        </w:rPr>
        <w:t xml:space="preserve">Siglo XXI, Buenos Aires, 1985, pag. 210. </w:t>
      </w:r>
    </w:p>
    <w:p w:rsidR="00E0066D" w:rsidRDefault="00E0066D" w:rsidP="00C23AEB">
      <w:pPr>
        <w:pStyle w:val="EndnoteText"/>
      </w:pPr>
      <w:r>
        <w:rPr>
          <w:rStyle w:val="EndnoteReference"/>
        </w:rPr>
        <w:t>6</w:t>
      </w:r>
      <w:r>
        <w:t xml:space="preserve"> </w:t>
      </w:r>
      <w:r>
        <w:rPr>
          <w:lang w:val="es-AR"/>
        </w:rPr>
        <w:t xml:space="preserve">Laurent, Eric. </w:t>
      </w:r>
      <w:r w:rsidRPr="00B86B60">
        <w:rPr>
          <w:i/>
          <w:lang w:val="es-AR"/>
        </w:rPr>
        <w:t>Usos actuales de la clínica</w:t>
      </w:r>
      <w:r>
        <w:rPr>
          <w:lang w:val="es-AR"/>
        </w:rPr>
        <w:t xml:space="preserve">, p. 36 </w:t>
      </w:r>
    </w:p>
    <w:p w:rsidR="00E0066D" w:rsidRDefault="00E0066D" w:rsidP="00C23AEB">
      <w:pPr>
        <w:pStyle w:val="EndnoteText"/>
      </w:pPr>
      <w:r>
        <w:rPr>
          <w:rStyle w:val="EndnoteReference"/>
        </w:rPr>
        <w:t>7</w:t>
      </w:r>
      <w:r>
        <w:t xml:space="preserve"> </w:t>
      </w:r>
      <w:r>
        <w:rPr>
          <w:lang w:val="es-AR"/>
        </w:rPr>
        <w:t xml:space="preserve">Miller, J-A. </w:t>
      </w:r>
      <w:r>
        <w:rPr>
          <w:i/>
          <w:lang w:val="es-AR"/>
        </w:rPr>
        <w:t xml:space="preserve">La naturaleza de los semblantes. </w:t>
      </w:r>
      <w:r>
        <w:rPr>
          <w:lang w:val="es-AR"/>
        </w:rPr>
        <w:t>Paidós, Buenos Aires, 2008, pag 236.</w:t>
      </w:r>
    </w:p>
    <w:p w:rsidR="00E0066D" w:rsidRDefault="00E0066D" w:rsidP="00C23AEB">
      <w:pPr>
        <w:pStyle w:val="EndnoteText"/>
      </w:pPr>
      <w:r>
        <w:rPr>
          <w:rStyle w:val="EndnoteReference"/>
        </w:rPr>
        <w:t>8</w:t>
      </w:r>
      <w:r>
        <w:t xml:space="preserve"> </w:t>
      </w:r>
      <w:r>
        <w:rPr>
          <w:lang w:val="es-AR"/>
        </w:rPr>
        <w:t xml:space="preserve">Lacan, Jacques. “De una cuestión preliminar a todo tratamiento posible de la psicosis”. En: </w:t>
      </w:r>
      <w:r w:rsidRPr="002C3380">
        <w:rPr>
          <w:i/>
          <w:lang w:val="es-AR"/>
        </w:rPr>
        <w:t>Escritos 2</w:t>
      </w:r>
      <w:r>
        <w:rPr>
          <w:i/>
          <w:lang w:val="es-AR"/>
        </w:rPr>
        <w:t>,</w:t>
      </w:r>
      <w:r>
        <w:rPr>
          <w:lang w:val="es-AR"/>
        </w:rPr>
        <w:t xml:space="preserve"> XXI, Buenos Aires, 1985.</w:t>
      </w:r>
    </w:p>
    <w:p w:rsidR="00E0066D" w:rsidRDefault="00E0066D" w:rsidP="00C23AEB">
      <w:pPr>
        <w:pStyle w:val="EndnoteText"/>
      </w:pPr>
      <w:r>
        <w:rPr>
          <w:rStyle w:val="EndnoteReference"/>
        </w:rPr>
        <w:t>9</w:t>
      </w:r>
      <w:r>
        <w:t xml:space="preserve"> </w:t>
      </w:r>
      <w:r>
        <w:rPr>
          <w:lang w:val="es-AR"/>
        </w:rPr>
        <w:t xml:space="preserve">Lacan, Jacques. “La significación del falo”. En: </w:t>
      </w:r>
      <w:r w:rsidRPr="002C3380">
        <w:rPr>
          <w:i/>
          <w:lang w:val="es-AR"/>
        </w:rPr>
        <w:t>Escritos 2</w:t>
      </w:r>
      <w:r>
        <w:rPr>
          <w:i/>
          <w:lang w:val="es-AR"/>
        </w:rPr>
        <w:t>,</w:t>
      </w:r>
      <w:r>
        <w:rPr>
          <w:lang w:val="es-AR"/>
        </w:rPr>
        <w:t xml:space="preserve"> XXI, Buenos Aires, 1985.</w:t>
      </w:r>
    </w:p>
    <w:p w:rsidR="00E0066D" w:rsidRDefault="00E0066D" w:rsidP="00C23AEB">
      <w:pPr>
        <w:pStyle w:val="EndnoteText"/>
      </w:pPr>
      <w:r>
        <w:rPr>
          <w:rStyle w:val="EndnoteReference"/>
        </w:rPr>
        <w:t>10</w:t>
      </w:r>
      <w:r>
        <w:t xml:space="preserve"> Lacan, Jacques. “Ideas directivas para un congreso sobre la sexualidad femenina”. En: </w:t>
      </w:r>
      <w:r w:rsidRPr="002C3380">
        <w:rPr>
          <w:i/>
          <w:lang w:val="es-AR"/>
        </w:rPr>
        <w:t>Escritos 2</w:t>
      </w:r>
      <w:r>
        <w:rPr>
          <w:i/>
          <w:lang w:val="es-AR"/>
        </w:rPr>
        <w:t>,</w:t>
      </w:r>
      <w:r>
        <w:rPr>
          <w:lang w:val="es-AR"/>
        </w:rPr>
        <w:t xml:space="preserve"> XXI, Buenos Aires, 1985, pag. 709.</w:t>
      </w:r>
    </w:p>
    <w:p w:rsidR="00E0066D" w:rsidRDefault="00E0066D" w:rsidP="00C23AEB">
      <w:pPr>
        <w:pStyle w:val="EndnoteText"/>
      </w:pPr>
      <w:r>
        <w:rPr>
          <w:rStyle w:val="EndnoteReference"/>
        </w:rPr>
        <w:t>11</w:t>
      </w:r>
      <w:r w:rsidRPr="00492E3A">
        <w:t xml:space="preserve"> Vitale, Fernando. </w:t>
      </w:r>
      <w:r>
        <w:t>“</w:t>
      </w:r>
      <w:r w:rsidRPr="00084D02">
        <w:rPr>
          <w:i/>
        </w:rPr>
        <w:t>Impossible is nothing</w:t>
      </w:r>
      <w:r>
        <w:t xml:space="preserve"> o la enigmática sonrisa del gato de Chesire”. En: página del VII Enapol, </w:t>
      </w:r>
      <w:hyperlink r:id="rId1" w:history="1">
        <w:r w:rsidRPr="00C272D3">
          <w:rPr>
            <w:rStyle w:val="Hyperlink"/>
          </w:rPr>
          <w:t>www.osimperiodasimagens/br/es</w:t>
        </w:r>
      </w:hyperlink>
    </w:p>
    <w:p w:rsidR="00E0066D" w:rsidRPr="00C23AEB" w:rsidRDefault="00E0066D" w:rsidP="00C23AEB">
      <w:pPr>
        <w:pStyle w:val="EndnoteText"/>
        <w:rPr>
          <w:lang w:val="pt-BR"/>
        </w:rPr>
      </w:pPr>
      <w:r>
        <w:rPr>
          <w:rStyle w:val="EndnoteReference"/>
        </w:rPr>
        <w:t>12</w:t>
      </w:r>
      <w:r w:rsidRPr="00AA229E">
        <w:rPr>
          <w:lang w:val="es-AR"/>
        </w:rPr>
        <w:t xml:space="preserve"> </w:t>
      </w:r>
      <w:r>
        <w:rPr>
          <w:lang w:val="es-AR"/>
        </w:rPr>
        <w:t xml:space="preserve">Laurent, Eric. Argumento del VI Enapol. En: </w:t>
      </w:r>
      <w:r w:rsidRPr="00337C96">
        <w:rPr>
          <w:i/>
          <w:lang w:val="es-AR"/>
        </w:rPr>
        <w:t>Hablar con el cuerpo</w:t>
      </w:r>
      <w:r>
        <w:rPr>
          <w:lang w:val="es-AR"/>
        </w:rPr>
        <w:t xml:space="preserve">. </w:t>
      </w:r>
      <w:r w:rsidRPr="00C23AEB">
        <w:rPr>
          <w:lang w:val="pt-BR"/>
        </w:rPr>
        <w:t>Volumen del VI Enapol. Ed. Grama, Buenos Aires, 2014.</w:t>
      </w:r>
    </w:p>
    <w:p w:rsidR="00E0066D" w:rsidRPr="00C23AEB" w:rsidRDefault="00E0066D" w:rsidP="00C23AEB">
      <w:pPr>
        <w:jc w:val="both"/>
        <w:rPr>
          <w:lang w:val="pt-BR"/>
        </w:rPr>
      </w:pPr>
      <w:r w:rsidRPr="00BF2EF9">
        <w:rPr>
          <w:rStyle w:val="EndnoteReference"/>
          <w:sz w:val="20"/>
          <w:szCs w:val="20"/>
          <w:lang w:val="pt-BR"/>
        </w:rPr>
        <w:t>13</w:t>
      </w:r>
      <w:r w:rsidRPr="00B86B60">
        <w:rPr>
          <w:lang w:val="pt-BR"/>
        </w:rPr>
        <w:t xml:space="preserve"> </w:t>
      </w:r>
      <w:r w:rsidRPr="00FB6D5D">
        <w:rPr>
          <w:rFonts w:ascii="Times New Roman" w:hAnsi="Times New Roman"/>
          <w:sz w:val="20"/>
          <w:szCs w:val="20"/>
          <w:lang w:val="pt-BR"/>
        </w:rPr>
        <w:t xml:space="preserve">Lacan introduz no </w:t>
      </w:r>
      <w:r w:rsidRPr="00FB6D5D">
        <w:rPr>
          <w:rFonts w:ascii="Times New Roman" w:hAnsi="Times New Roman"/>
          <w:i/>
          <w:sz w:val="20"/>
          <w:szCs w:val="20"/>
          <w:lang w:val="pt-BR"/>
        </w:rPr>
        <w:t>Seminário 18</w:t>
      </w:r>
      <w:r w:rsidRPr="00FB6D5D">
        <w:rPr>
          <w:rFonts w:ascii="Times New Roman" w:hAnsi="Times New Roman"/>
          <w:sz w:val="20"/>
          <w:szCs w:val="20"/>
          <w:lang w:val="pt-BR"/>
        </w:rPr>
        <w:t xml:space="preserve"> um novo estatuto do falo. Disse Lacan: “se há algo que caracteriza o falo, não é ser o significante da falta, como alguns acreditaram poder entender em certas palavras minhas, senão precisamente aquilo que nao saí nenhuma palavra. Mais adiante acrescenta: Se o que se nomeia pai, o Nome-do-Pai, é um nome que possui uma eficácia, é precisamente porque alguém se levanta para responder” (p.161). Não é, então, que não opere o Nome-do-Pai na estrutura, e sim que não se produz o chamado do sujeito ao pai vivo, e, por conseguinte, não se habilita sua função de pai do nome, função do pai capaz</w:t>
      </w:r>
      <w:r>
        <w:rPr>
          <w:rFonts w:ascii="Times New Roman" w:hAnsi="Times New Roman"/>
          <w:sz w:val="20"/>
          <w:szCs w:val="20"/>
          <w:lang w:val="pt-BR"/>
        </w:rPr>
        <w:t xml:space="preserve"> de responder com se</w:t>
      </w:r>
      <w:r w:rsidRPr="00FB6D5D">
        <w:rPr>
          <w:rFonts w:ascii="Times New Roman" w:hAnsi="Times New Roman"/>
          <w:sz w:val="20"/>
          <w:szCs w:val="20"/>
          <w:lang w:val="pt-BR"/>
        </w:rPr>
        <w:t>ntido ao encontro traumático com o gozo fálico, mudo.</w:t>
      </w:r>
    </w:p>
    <w:p w:rsidR="00E0066D" w:rsidRDefault="00E0066D" w:rsidP="00C23AEB">
      <w:pPr>
        <w:pStyle w:val="EndnoteText"/>
      </w:pPr>
      <w:r>
        <w:rPr>
          <w:rStyle w:val="EndnoteReference"/>
        </w:rPr>
        <w:t>14</w:t>
      </w:r>
      <w:r>
        <w:t xml:space="preserve"> Brousse, M-H. “Cuerpos lacanianos: novedades contemporáneas sobre el estadio del espejo”. Conferencia pronunciada en Granada. En: </w:t>
      </w:r>
      <w:r w:rsidRPr="00AA2E4E">
        <w:t>http://www.radiolacan.com/es/topic/180/4</w:t>
      </w:r>
    </w:p>
    <w:p w:rsidR="00E0066D" w:rsidRPr="00B86B60" w:rsidRDefault="00E0066D" w:rsidP="00C23AEB">
      <w:pPr>
        <w:pStyle w:val="EndnoteText"/>
        <w:rPr>
          <w:lang w:val="pt-BR"/>
        </w:rPr>
      </w:pPr>
      <w:r>
        <w:rPr>
          <w:rStyle w:val="EndnoteReference"/>
        </w:rPr>
        <w:t>15</w:t>
      </w:r>
      <w:r>
        <w:t xml:space="preserve"> Lacan, Jacques. </w:t>
      </w:r>
      <w:r w:rsidRPr="00281844">
        <w:rPr>
          <w:i/>
        </w:rPr>
        <w:t>El seminario. Libro 18. De un discurso que no fuera del semblante.</w:t>
      </w:r>
      <w:r>
        <w:t xml:space="preserve"> </w:t>
      </w:r>
      <w:r w:rsidRPr="007E1BA8">
        <w:rPr>
          <w:lang w:val="pt-BR"/>
        </w:rPr>
        <w:t>Paidós, Buenos Aires, 2009, pags. 31-32.</w:t>
      </w:r>
    </w:p>
    <w:p w:rsidR="00E0066D" w:rsidRPr="00B86B60" w:rsidRDefault="00E0066D" w:rsidP="00C23AEB">
      <w:pPr>
        <w:pStyle w:val="EndnoteText"/>
        <w:rPr>
          <w:lang w:val="pt-BR"/>
        </w:rPr>
      </w:pPr>
      <w:r w:rsidRPr="00BF2EF9">
        <w:rPr>
          <w:rStyle w:val="EndnoteReference"/>
          <w:lang w:val="pt-BR"/>
        </w:rPr>
        <w:t>16</w:t>
      </w:r>
      <w:r w:rsidRPr="000B5D76">
        <w:rPr>
          <w:lang w:val="pt-BR"/>
        </w:rPr>
        <w:t xml:space="preserve"> E</w:t>
      </w:r>
      <w:r>
        <w:rPr>
          <w:lang w:val="pt-BR"/>
        </w:rPr>
        <w:t>ntrevista a M-H Brousse en 2013:</w:t>
      </w:r>
      <w:r w:rsidRPr="000B5D76">
        <w:rPr>
          <w:lang w:val="pt-BR"/>
        </w:rPr>
        <w:t xml:space="preserve"> http://www.psicoanalisisinedito.com/2014/05/marie-helene-brousse-entrevista-sobre.html</w:t>
      </w:r>
    </w:p>
    <w:p w:rsidR="00E0066D" w:rsidRDefault="00E0066D" w:rsidP="00C23AEB">
      <w:pPr>
        <w:pStyle w:val="EndnoteText"/>
      </w:pPr>
      <w:r>
        <w:rPr>
          <w:rStyle w:val="EndnoteReference"/>
        </w:rPr>
        <w:t>17</w:t>
      </w:r>
      <w:r w:rsidRPr="005C72C1">
        <w:t xml:space="preserve"> Vitale, Fernando. </w:t>
      </w:r>
      <w:r>
        <w:t>“</w:t>
      </w:r>
      <w:r w:rsidRPr="00084D02">
        <w:rPr>
          <w:i/>
        </w:rPr>
        <w:t>Impossible is nothing</w:t>
      </w:r>
      <w:r>
        <w:t xml:space="preserve"> o la enigmática sonrisa del gato de Chesire”. En: página del VII Enapol, </w:t>
      </w:r>
      <w:r w:rsidRPr="003D1B2A">
        <w:rPr>
          <w:lang w:val="es-AR"/>
        </w:rPr>
        <w:t>http://</w:t>
      </w:r>
      <w:hyperlink r:id="rId2" w:history="1">
        <w:r w:rsidRPr="00C272D3">
          <w:rPr>
            <w:rStyle w:val="Hyperlink"/>
          </w:rPr>
          <w:t>www.osimperiodasimagens/br/es</w:t>
        </w:r>
      </w:hyperlink>
      <w:r>
        <w:t xml:space="preserve"> </w:t>
      </w:r>
    </w:p>
    <w:p w:rsidR="00E0066D" w:rsidRDefault="00E0066D" w:rsidP="00C23AEB">
      <w:pPr>
        <w:pStyle w:val="EndnoteText"/>
      </w:pPr>
      <w:r>
        <w:rPr>
          <w:rStyle w:val="EndnoteReference"/>
        </w:rPr>
        <w:t>18</w:t>
      </w:r>
      <w:r>
        <w:t xml:space="preserve"> </w:t>
      </w:r>
      <w:r>
        <w:rPr>
          <w:lang w:val="es-AR"/>
        </w:rPr>
        <w:t xml:space="preserve">Avarez, Patricio. “Escabel”. En: </w:t>
      </w:r>
      <w:r w:rsidRPr="00223444">
        <w:rPr>
          <w:lang w:val="es-AR"/>
        </w:rPr>
        <w:t xml:space="preserve"> </w:t>
      </w:r>
      <w:r w:rsidRPr="003D1B2A">
        <w:rPr>
          <w:lang w:val="es-AR"/>
        </w:rPr>
        <w:t>http://</w:t>
      </w:r>
      <w:r w:rsidRPr="00223444">
        <w:rPr>
          <w:lang w:val="es-AR"/>
        </w:rPr>
        <w:t>www.revconsecuencias.com.ar/ediciones/015/template.php?file=arts/Alcances/Escabel.html</w:t>
      </w:r>
    </w:p>
    <w:p w:rsidR="00E0066D" w:rsidRDefault="00E0066D" w:rsidP="00C23AEB">
      <w:pPr>
        <w:pStyle w:val="EndnoteText"/>
      </w:pPr>
      <w:r>
        <w:rPr>
          <w:rStyle w:val="EndnoteReference"/>
        </w:rPr>
        <w:t>19</w:t>
      </w:r>
      <w:r>
        <w:t xml:space="preserve"> Lacan, Jacques. </w:t>
      </w:r>
      <w:r w:rsidRPr="00B642CC">
        <w:rPr>
          <w:i/>
        </w:rPr>
        <w:t>Seminario 10, La Angustia.</w:t>
      </w:r>
      <w:r>
        <w:t xml:space="preserve"> </w:t>
      </w:r>
      <w:r w:rsidRPr="00385BF9">
        <w:t>Paidós, Buenos Aires, 2006, pag. 49.</w:t>
      </w:r>
    </w:p>
    <w:p w:rsidR="00E0066D" w:rsidRDefault="00E0066D" w:rsidP="00C23AEB">
      <w:pPr>
        <w:pStyle w:val="EndnoteText"/>
        <w:rPr>
          <w:lang w:val="es-AR"/>
        </w:rPr>
      </w:pPr>
      <w:r>
        <w:rPr>
          <w:rStyle w:val="EndnoteReference"/>
        </w:rPr>
        <w:t>20</w:t>
      </w:r>
      <w:r>
        <w:t xml:space="preserve"> </w:t>
      </w:r>
      <w:r>
        <w:rPr>
          <w:lang w:val="es-AR"/>
        </w:rPr>
        <w:t xml:space="preserve">Rodriguez, Gabriela. “El escabel y la esfera. De la aversión de Lacan por la esfera y el uso del escabel”. En: </w:t>
      </w:r>
    </w:p>
    <w:p w:rsidR="00E0066D" w:rsidRPr="003D1B2A" w:rsidRDefault="00E0066D" w:rsidP="00C23AEB">
      <w:pPr>
        <w:pStyle w:val="EndnoteText"/>
        <w:rPr>
          <w:lang w:val="es-AR"/>
        </w:rPr>
      </w:pPr>
      <w:r w:rsidRPr="003D1B2A">
        <w:rPr>
          <w:lang w:val="es-AR"/>
        </w:rPr>
        <w:t>http://www.revconsecuencias.com.ar/ediciones/015/template.php?file=arts/Alcances/El-escabel-y-la-esfera.html</w:t>
      </w:r>
    </w:p>
    <w:p w:rsidR="00E0066D" w:rsidRDefault="00E0066D" w:rsidP="00C23AEB">
      <w:pPr>
        <w:pStyle w:val="EndnoteText"/>
        <w:rPr>
          <w:lang w:val="es-AR"/>
        </w:rPr>
      </w:pPr>
    </w:p>
    <w:p w:rsidR="00E0066D" w:rsidRPr="00B86B60" w:rsidRDefault="00E0066D" w:rsidP="00C23AEB">
      <w:pPr>
        <w:pStyle w:val="EndnoteText"/>
        <w:rPr>
          <w:shd w:val="clear" w:color="auto" w:fill="FFFFFF"/>
        </w:rPr>
      </w:pPr>
    </w:p>
    <w:p w:rsidR="00E0066D" w:rsidRPr="00C23AEB" w:rsidRDefault="00E0066D" w:rsidP="00C23AEB">
      <w:pPr>
        <w:pStyle w:val="EndnoteText"/>
      </w:pPr>
    </w:p>
    <w:p w:rsidR="00E0066D" w:rsidRDefault="00E0066D" w:rsidP="00C23AEB">
      <w:pPr>
        <w:pStyle w:val="EndnoteText"/>
      </w:pPr>
    </w:p>
  </w:endnote>
  <w:endnote w:id="4">
    <w:p w:rsidR="00E0066D" w:rsidRDefault="00E0066D" w:rsidP="006C4602">
      <w:pPr>
        <w:pStyle w:val="EndnoteText"/>
      </w:pPr>
    </w:p>
  </w:endnote>
  <w:endnote w:id="5">
    <w:p w:rsidR="00E0066D" w:rsidRDefault="00E0066D" w:rsidP="006C4602">
      <w:pPr>
        <w:pStyle w:val="EndnoteText"/>
      </w:pPr>
    </w:p>
  </w:endnote>
  <w:endnote w:id="6">
    <w:p w:rsidR="00E0066D" w:rsidRDefault="00E0066D" w:rsidP="006C4602">
      <w:pPr>
        <w:pStyle w:val="EndnoteText"/>
      </w:pPr>
    </w:p>
  </w:endnote>
  <w:endnote w:id="7">
    <w:p w:rsidR="00E0066D" w:rsidRDefault="00E0066D" w:rsidP="006C4602">
      <w:pPr>
        <w:shd w:val="clear" w:color="auto" w:fill="FFFFFF"/>
        <w:spacing w:before="100" w:beforeAutospacing="1" w:after="100" w:afterAutospacing="1" w:line="240" w:lineRule="auto"/>
      </w:pPr>
    </w:p>
  </w:endnote>
  <w:endnote w:id="8">
    <w:p w:rsidR="00E0066D" w:rsidRDefault="00E0066D" w:rsidP="006C4602">
      <w:pPr>
        <w:pStyle w:val="EndnoteText"/>
      </w:pPr>
    </w:p>
  </w:endnote>
  <w:endnote w:id="9">
    <w:p w:rsidR="00E0066D" w:rsidRDefault="00E0066D" w:rsidP="006C4602">
      <w:pPr>
        <w:pStyle w:val="EndnoteText"/>
      </w:pPr>
    </w:p>
  </w:endnote>
  <w:endnote w:id="10">
    <w:p w:rsidR="00E0066D" w:rsidRDefault="00E0066D" w:rsidP="006C4602">
      <w:pPr>
        <w:pStyle w:val="EndnoteText"/>
      </w:pPr>
      <w:r w:rsidRPr="00C23AEB">
        <w:rPr>
          <w:shd w:val="clear" w:color="auto" w:fill="FFFFFF"/>
        </w:rPr>
        <w:t> </w:t>
      </w:r>
    </w:p>
  </w:endnote>
  <w:endnote w:id="11">
    <w:p w:rsidR="00E0066D" w:rsidRDefault="00E0066D" w:rsidP="006C4602">
      <w:pPr>
        <w:pStyle w:val="EndnoteText"/>
      </w:pPr>
    </w:p>
  </w:endnote>
  <w:endnote w:id="12">
    <w:p w:rsidR="00E0066D" w:rsidRDefault="00E0066D" w:rsidP="006C4602">
      <w:pPr>
        <w:pStyle w:val="EndnoteText"/>
      </w:pPr>
    </w:p>
  </w:endnote>
  <w:endnote w:id="13">
    <w:p w:rsidR="00E0066D" w:rsidRDefault="00E0066D" w:rsidP="006C4602">
      <w:pPr>
        <w:spacing w:line="240" w:lineRule="auto"/>
        <w:jc w:val="both"/>
      </w:pPr>
    </w:p>
  </w:endnote>
  <w:endnote w:id="14">
    <w:p w:rsidR="00E0066D" w:rsidRDefault="00E0066D" w:rsidP="006C4602">
      <w:pPr>
        <w:pStyle w:val="EndnoteText"/>
      </w:pPr>
    </w:p>
  </w:endnote>
  <w:endnote w:id="15">
    <w:p w:rsidR="00E0066D" w:rsidRDefault="00E0066D" w:rsidP="006C4602">
      <w:pPr>
        <w:pStyle w:val="EndnoteText"/>
      </w:pPr>
    </w:p>
  </w:endnote>
  <w:endnote w:id="16">
    <w:p w:rsidR="00E0066D" w:rsidRDefault="00E0066D" w:rsidP="006C4602">
      <w:pPr>
        <w:pStyle w:val="EndnoteText"/>
      </w:pPr>
    </w:p>
  </w:endnote>
  <w:endnote w:id="17">
    <w:p w:rsidR="00E0066D" w:rsidRDefault="00E0066D" w:rsidP="006C4602">
      <w:pPr>
        <w:pStyle w:val="EndnoteText"/>
      </w:pPr>
    </w:p>
  </w:endnote>
  <w:endnote w:id="18">
    <w:p w:rsidR="00E0066D" w:rsidRDefault="00E0066D" w:rsidP="006C4602">
      <w:pPr>
        <w:pStyle w:val="EndnoteText"/>
      </w:pPr>
    </w:p>
  </w:endnote>
  <w:endnote w:id="19">
    <w:p w:rsidR="00E0066D" w:rsidRDefault="00E0066D" w:rsidP="006C4602">
      <w:pPr>
        <w:shd w:val="clear" w:color="auto" w:fill="FFFFFF"/>
        <w:spacing w:after="0" w:line="240" w:lineRule="auto"/>
      </w:pPr>
    </w:p>
  </w:endnote>
  <w:endnote w:id="20">
    <w:p w:rsidR="00E0066D" w:rsidRDefault="00E0066D" w:rsidP="006C460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6D" w:rsidRDefault="00E0066D" w:rsidP="006C4602">
      <w:pPr>
        <w:spacing w:after="0" w:line="240" w:lineRule="auto"/>
      </w:pPr>
      <w:r>
        <w:separator/>
      </w:r>
    </w:p>
  </w:footnote>
  <w:footnote w:type="continuationSeparator" w:id="0">
    <w:p w:rsidR="00E0066D" w:rsidRDefault="00E0066D" w:rsidP="006C4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2"/>
    <w:rsid w:val="000404D0"/>
    <w:rsid w:val="00084D02"/>
    <w:rsid w:val="000B5D76"/>
    <w:rsid w:val="000D73E4"/>
    <w:rsid w:val="000F4555"/>
    <w:rsid w:val="00130053"/>
    <w:rsid w:val="001C3A96"/>
    <w:rsid w:val="00223444"/>
    <w:rsid w:val="00281844"/>
    <w:rsid w:val="002C3380"/>
    <w:rsid w:val="00337C96"/>
    <w:rsid w:val="00385BF9"/>
    <w:rsid w:val="003D1B2A"/>
    <w:rsid w:val="0044097C"/>
    <w:rsid w:val="00492E3A"/>
    <w:rsid w:val="004E263F"/>
    <w:rsid w:val="005C72C1"/>
    <w:rsid w:val="006C4602"/>
    <w:rsid w:val="007675F1"/>
    <w:rsid w:val="007E1BA8"/>
    <w:rsid w:val="007F5C3F"/>
    <w:rsid w:val="00865968"/>
    <w:rsid w:val="00917D4D"/>
    <w:rsid w:val="009B6056"/>
    <w:rsid w:val="009C21B2"/>
    <w:rsid w:val="00AA229E"/>
    <w:rsid w:val="00AA2E4E"/>
    <w:rsid w:val="00B4623C"/>
    <w:rsid w:val="00B642CC"/>
    <w:rsid w:val="00B86376"/>
    <w:rsid w:val="00B86B60"/>
    <w:rsid w:val="00BC1D83"/>
    <w:rsid w:val="00BF2EF9"/>
    <w:rsid w:val="00C23AEB"/>
    <w:rsid w:val="00C272D3"/>
    <w:rsid w:val="00C7378B"/>
    <w:rsid w:val="00C92DEA"/>
    <w:rsid w:val="00CD6BDA"/>
    <w:rsid w:val="00CE4E0F"/>
    <w:rsid w:val="00DA7374"/>
    <w:rsid w:val="00E0066D"/>
    <w:rsid w:val="00E3229F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C460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C4602"/>
    <w:rPr>
      <w:rFonts w:ascii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rsid w:val="006C460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C46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C460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C460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C4602"/>
    <w:rPr>
      <w:rFonts w:ascii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rsid w:val="006C460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C46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C46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imperiodasimagens/br/es" TargetMode="External"/><Relationship Id="rId2" Type="http://schemas.openxmlformats.org/officeDocument/2006/relationships/hyperlink" Target="http://www.osimperiodasimagens/br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2785</Words>
  <Characters>15876</Characters>
  <Application>Microsoft Macintosh Word</Application>
  <DocSecurity>0</DocSecurity>
  <Lines>132</Lines>
  <Paragraphs>37</Paragraphs>
  <ScaleCrop>false</ScaleCrop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Mulheres em frente ao espelho;/: novas virilidades</dc:title>
  <dc:subject/>
  <dc:creator>Silvina Molina</dc:creator>
  <cp:keywords/>
  <dc:description/>
  <cp:lastModifiedBy>Ana Lydia Santiago</cp:lastModifiedBy>
  <cp:revision>2</cp:revision>
  <dcterms:created xsi:type="dcterms:W3CDTF">2015-07-23T23:15:00Z</dcterms:created>
  <dcterms:modified xsi:type="dcterms:W3CDTF">2015-07-23T23:15:00Z</dcterms:modified>
</cp:coreProperties>
</file>